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2160" w:firstLine="720"/>
        <w:contextualSpacing w:val="0"/>
        <w:rPr/>
      </w:pPr>
      <w:r w:rsidDel="00000000" w:rsidR="00000000" w:rsidRPr="00000000">
        <w:rPr>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-200022</wp:posOffset>
            </wp:positionH>
            <wp:positionV relativeFrom="paragraph">
              <wp:posOffset>0</wp:posOffset>
            </wp:positionV>
            <wp:extent cx="2162175" cy="117157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62175" cy="1171575"/>
                    </a:xfrm>
                    <a:prstGeom prst="rect"/>
                    <a:ln/>
                  </pic:spPr>
                </pic:pic>
              </a:graphicData>
            </a:graphic>
          </wp:anchor>
        </w:drawing>
      </w:r>
    </w:p>
    <w:p w:rsidR="00000000" w:rsidDel="00000000" w:rsidP="00000000" w:rsidRDefault="00000000" w:rsidRPr="00000000">
      <w:pPr>
        <w:pBdr/>
        <w:ind w:left="2160" w:firstLine="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color w:val="4472c4"/>
          <w:sz w:val="28"/>
          <w:szCs w:val="28"/>
          <w:rtl w:val="0"/>
        </w:rPr>
        <w:t xml:space="preserve">HCBS Team Meeting Minutes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color w:val="00b0f0"/>
          <w:sz w:val="20"/>
          <w:szCs w:val="20"/>
          <w:rtl w:val="0"/>
        </w:rPr>
        <w:t xml:space="preserve">DATE: </w:t>
      </w:r>
      <w:r w:rsidDel="00000000" w:rsidR="00000000" w:rsidRPr="00000000">
        <w:rPr>
          <w:sz w:val="20"/>
          <w:szCs w:val="20"/>
          <w:rtl w:val="0"/>
        </w:rPr>
        <w:t xml:space="preserve">Friday, March 3, 2017</w:t>
      </w:r>
      <w:r w:rsidDel="00000000" w:rsidR="00000000" w:rsidRPr="00000000">
        <w:rPr>
          <w:rtl w:val="0"/>
        </w:rPr>
      </w:r>
    </w:p>
    <w:p w:rsidR="00000000" w:rsidDel="00000000" w:rsidP="00000000" w:rsidRDefault="00000000" w:rsidRPr="00000000">
      <w:pPr>
        <w:pBdr/>
        <w:spacing w:line="360" w:lineRule="auto"/>
        <w:ind w:firstLine="720"/>
        <w:contextualSpacing w:val="0"/>
        <w:rPr>
          <w:color w:val="00b0f0"/>
          <w:sz w:val="20"/>
          <w:szCs w:val="20"/>
        </w:rPr>
      </w:pPr>
      <w:r w:rsidDel="00000000" w:rsidR="00000000" w:rsidRPr="00000000">
        <w:rPr>
          <w:b w:val="1"/>
          <w:color w:val="00b0f0"/>
          <w:sz w:val="20"/>
          <w:szCs w:val="20"/>
          <w:rtl w:val="0"/>
        </w:rPr>
        <w:t xml:space="preserve">                TIME:  </w:t>
      </w:r>
      <w:r w:rsidDel="00000000" w:rsidR="00000000" w:rsidRPr="00000000">
        <w:rPr>
          <w:sz w:val="20"/>
          <w:szCs w:val="20"/>
          <w:rtl w:val="0"/>
        </w:rPr>
        <w:t xml:space="preserve">12:30 PM - 1:30 PM</w:t>
      </w:r>
      <w:r w:rsidDel="00000000" w:rsidR="00000000" w:rsidRPr="00000000">
        <w:rPr>
          <w:color w:val="00b0f0"/>
          <w:sz w:val="20"/>
          <w:szCs w:val="20"/>
          <w:rtl w:val="0"/>
        </w:rPr>
        <w:t xml:space="preserve"> </w:t>
      </w:r>
    </w:p>
    <w:p w:rsidR="00000000" w:rsidDel="00000000" w:rsidP="00000000" w:rsidRDefault="00000000" w:rsidRPr="00000000">
      <w:pPr>
        <w:pBdr/>
        <w:spacing w:line="360" w:lineRule="auto"/>
        <w:ind w:firstLine="720"/>
        <w:contextualSpacing w:val="0"/>
        <w:rPr/>
      </w:pPr>
      <w:r w:rsidDel="00000000" w:rsidR="00000000" w:rsidRPr="00000000">
        <w:rPr>
          <w:b w:val="1"/>
          <w:color w:val="00b0f0"/>
          <w:sz w:val="20"/>
          <w:szCs w:val="20"/>
          <w:rtl w:val="0"/>
        </w:rPr>
        <w:t xml:space="preserve">                LOCATION:   </w:t>
      </w:r>
      <w:r w:rsidDel="00000000" w:rsidR="00000000" w:rsidRPr="00000000">
        <w:rPr>
          <w:sz w:val="20"/>
          <w:szCs w:val="20"/>
          <w:rtl w:val="0"/>
        </w:rPr>
        <w:t xml:space="preserve">DHMH-Balt CR 201 Bldg-222B</w:t>
      </w:r>
      <w:r w:rsidDel="00000000" w:rsidR="00000000" w:rsidRPr="00000000">
        <w:rPr>
          <w:rtl w:val="0"/>
        </w:rPr>
      </w:r>
    </w:p>
    <w:p w:rsidR="00000000" w:rsidDel="00000000" w:rsidP="00000000" w:rsidRDefault="00000000" w:rsidRPr="00000000">
      <w:pPr>
        <w:pBdr/>
        <w:spacing w:line="360" w:lineRule="auto"/>
        <w:contextualSpacing w:val="0"/>
        <w:jc w:val="right"/>
        <w:rPr/>
      </w:pPr>
      <w:r w:rsidDel="00000000" w:rsidR="00000000" w:rsidRPr="00000000">
        <w:rPr>
          <w:rtl w:val="0"/>
        </w:rPr>
      </w:r>
    </w:p>
    <w:p w:rsidR="00000000" w:rsidDel="00000000" w:rsidP="00000000" w:rsidRDefault="00000000" w:rsidRPr="00000000">
      <w:pPr>
        <w:pBdr/>
        <w:spacing w:line="360" w:lineRule="auto"/>
        <w:contextualSpacing w:val="0"/>
        <w:jc w:val="center"/>
        <w:rPr>
          <w:sz w:val="28"/>
          <w:szCs w:val="28"/>
        </w:rPr>
      </w:pPr>
      <w:r w:rsidDel="00000000" w:rsidR="00000000" w:rsidRPr="00000000">
        <w:rPr>
          <w:b w:val="1"/>
          <w:color w:val="4472c4"/>
          <w:sz w:val="28"/>
          <w:szCs w:val="28"/>
          <w:rtl w:val="0"/>
        </w:rPr>
        <w:t xml:space="preserve">AGENDA DETAILS</w:t>
      </w: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1. STP Grammatical and Formatting Edits</w:t>
      </w:r>
      <w:r w:rsidDel="00000000" w:rsidR="00000000" w:rsidRPr="00000000">
        <w:rPr>
          <w:rtl w:val="0"/>
        </w:rPr>
      </w:r>
    </w:p>
    <w:p w:rsidR="00000000" w:rsidDel="00000000" w:rsidP="00000000" w:rsidRDefault="00000000" w:rsidRPr="00000000">
      <w:pPr>
        <w:numPr>
          <w:ilvl w:val="0"/>
          <w:numId w:val="7"/>
        </w:numPr>
        <w:pBdr/>
        <w:spacing w:after="0" w:before="0" w:line="360" w:lineRule="auto"/>
        <w:ind w:left="720" w:hanging="360"/>
        <w:contextualSpacing w:val="1"/>
        <w:rPr>
          <w:sz w:val="24"/>
          <w:szCs w:val="24"/>
        </w:rPr>
      </w:pPr>
      <w:r w:rsidDel="00000000" w:rsidR="00000000" w:rsidRPr="00000000">
        <w:rPr>
          <w:sz w:val="24"/>
          <w:szCs w:val="24"/>
          <w:rtl w:val="0"/>
        </w:rPr>
        <w:t xml:space="preserve">Revision of the plan with updates to include future dates and existing dates   as past (i.e in</w:t>
      </w:r>
      <w:r w:rsidDel="00000000" w:rsidR="00000000" w:rsidRPr="00000000">
        <w:rPr>
          <w:b w:val="1"/>
          <w:sz w:val="24"/>
          <w:szCs w:val="24"/>
          <w:rtl w:val="0"/>
        </w:rPr>
        <w:t xml:space="preserve"> </w:t>
      </w:r>
      <w:r w:rsidDel="00000000" w:rsidR="00000000" w:rsidRPr="00000000">
        <w:rPr>
          <w:sz w:val="24"/>
          <w:szCs w:val="24"/>
          <w:rtl w:val="0"/>
        </w:rPr>
        <w:t xml:space="preserve">December 2016 we will….)</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Revise STP grammar and formatting </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Update mentions of future dates to reflect events that have already passed/will come up in the future </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Pay attention to difference between “public input” and “sharing information”</w:t>
      </w:r>
    </w:p>
    <w:p w:rsidR="00000000" w:rsidDel="00000000" w:rsidP="00000000" w:rsidRDefault="00000000" w:rsidRPr="00000000">
      <w:pPr>
        <w:numPr>
          <w:ilvl w:val="0"/>
          <w:numId w:val="7"/>
        </w:numPr>
        <w:pBdr/>
        <w:spacing w:after="0" w:before="0" w:line="360" w:lineRule="auto"/>
        <w:ind w:left="720" w:hanging="360"/>
        <w:contextualSpacing w:val="1"/>
        <w:rPr>
          <w:sz w:val="24"/>
          <w:szCs w:val="24"/>
        </w:rPr>
      </w:pPr>
      <w:r w:rsidDel="00000000" w:rsidR="00000000" w:rsidRPr="00000000">
        <w:rPr>
          <w:sz w:val="24"/>
          <w:szCs w:val="24"/>
          <w:rtl w:val="0"/>
        </w:rPr>
        <w:t xml:space="preserve">Add public comment meeting dates (see p. 72-73) </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We will put in meeting dates as a chart. Also add new meetings like St Peters. </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Rhonda will also send in DDA outreach activities.</w:t>
      </w:r>
    </w:p>
    <w:p w:rsidR="00000000" w:rsidDel="00000000" w:rsidP="00000000" w:rsidRDefault="00000000" w:rsidRPr="00000000">
      <w:pPr>
        <w:numPr>
          <w:ilvl w:val="0"/>
          <w:numId w:val="7"/>
        </w:numPr>
        <w:pBdr/>
        <w:spacing w:after="0" w:before="0" w:line="360" w:lineRule="auto"/>
        <w:ind w:left="720" w:hanging="360"/>
        <w:contextualSpacing w:val="1"/>
        <w:rPr>
          <w:sz w:val="24"/>
          <w:szCs w:val="24"/>
        </w:rPr>
      </w:pPr>
      <w:r w:rsidDel="00000000" w:rsidR="00000000" w:rsidRPr="00000000">
        <w:rPr>
          <w:sz w:val="24"/>
          <w:szCs w:val="24"/>
          <w:rtl w:val="0"/>
        </w:rPr>
        <w:t xml:space="preserve">Appendices A-J20</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Remove </w:t>
      </w:r>
      <w:r w:rsidDel="00000000" w:rsidR="00000000" w:rsidRPr="00000000">
        <w:rPr>
          <w:b w:val="1"/>
          <w:sz w:val="24"/>
          <w:szCs w:val="24"/>
          <w:rtl w:val="0"/>
        </w:rPr>
        <w:t xml:space="preserve">only </w:t>
      </w:r>
      <w:r w:rsidDel="00000000" w:rsidR="00000000" w:rsidRPr="00000000">
        <w:rPr>
          <w:sz w:val="24"/>
          <w:szCs w:val="24"/>
          <w:rtl w:val="0"/>
        </w:rPr>
        <w:t xml:space="preserve">the portion titled “Person Centered Planning Process” Regs (COMAR 10.22.05). 1-9 from each table</w:t>
      </w:r>
    </w:p>
    <w:p w:rsidR="00000000" w:rsidDel="00000000" w:rsidP="00000000" w:rsidRDefault="00000000" w:rsidRPr="00000000">
      <w:pPr>
        <w:numPr>
          <w:ilvl w:val="1"/>
          <w:numId w:val="7"/>
        </w:numPr>
        <w:pBdr/>
        <w:spacing w:after="0" w:before="0" w:line="360" w:lineRule="auto"/>
        <w:ind w:left="1440" w:hanging="360"/>
        <w:contextualSpacing w:val="1"/>
        <w:rPr>
          <w:sz w:val="24"/>
          <w:szCs w:val="24"/>
        </w:rPr>
      </w:pPr>
      <w:r w:rsidDel="00000000" w:rsidR="00000000" w:rsidRPr="00000000">
        <w:rPr>
          <w:sz w:val="24"/>
          <w:szCs w:val="24"/>
          <w:rtl w:val="0"/>
        </w:rPr>
        <w:t xml:space="preserve">Number 1d is missing from each table, is this omission intentional? No. </w:t>
      </w:r>
    </w:p>
    <w:p w:rsidR="00000000" w:rsidDel="00000000" w:rsidP="00000000" w:rsidRDefault="00000000" w:rsidRPr="00000000">
      <w:pPr>
        <w:numPr>
          <w:ilvl w:val="2"/>
          <w:numId w:val="7"/>
        </w:numPr>
        <w:pBdr/>
        <w:spacing w:after="0" w:before="0" w:line="360" w:lineRule="auto"/>
        <w:ind w:left="2160" w:hanging="360"/>
        <w:contextualSpacing w:val="1"/>
        <w:rPr>
          <w:sz w:val="24"/>
          <w:szCs w:val="24"/>
        </w:rPr>
      </w:pPr>
      <w:r w:rsidDel="00000000" w:rsidR="00000000" w:rsidRPr="00000000">
        <w:rPr>
          <w:sz w:val="24"/>
          <w:szCs w:val="24"/>
          <w:rtl w:val="0"/>
        </w:rPr>
        <w:t xml:space="preserve">Update the # column of each Appendix to reflect chronological order</w:t>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2. Action Item 1</w:t>
      </w: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Public Notice and Comments</w:t>
      </w:r>
      <w:r w:rsidDel="00000000" w:rsidR="00000000" w:rsidRPr="00000000">
        <w:rPr>
          <w:rtl w:val="0"/>
        </w:rPr>
      </w:r>
    </w:p>
    <w:p w:rsidR="00000000" w:rsidDel="00000000" w:rsidP="00000000" w:rsidRDefault="00000000" w:rsidRPr="00000000">
      <w:pPr>
        <w:numPr>
          <w:ilvl w:val="1"/>
          <w:numId w:val="1"/>
        </w:numPr>
        <w:pBdr/>
        <w:spacing w:after="0" w:before="0" w:line="360" w:lineRule="auto"/>
        <w:ind w:left="1440" w:hanging="360"/>
        <w:contextualSpacing w:val="1"/>
        <w:rPr>
          <w:sz w:val="24"/>
          <w:szCs w:val="24"/>
        </w:rPr>
      </w:pPr>
      <w:r w:rsidDel="00000000" w:rsidR="00000000" w:rsidRPr="00000000">
        <w:rPr>
          <w:sz w:val="24"/>
          <w:szCs w:val="24"/>
          <w:rtl w:val="0"/>
        </w:rPr>
        <w:t xml:space="preserve">Yes, we are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adding DDA comments</w:t>
      </w:r>
      <w:r w:rsidDel="00000000" w:rsidR="00000000" w:rsidRPr="00000000">
        <w:rPr>
          <w:sz w:val="24"/>
          <w:szCs w:val="24"/>
          <w:rtl w:val="0"/>
        </w:rPr>
        <w:t xml:space="preserve"> and they go to the same chart as Medicaid comment.</w:t>
      </w:r>
    </w:p>
    <w:p w:rsidR="00000000" w:rsidDel="00000000" w:rsidP="00000000" w:rsidRDefault="00000000" w:rsidRPr="00000000">
      <w:pPr>
        <w:numPr>
          <w:ilvl w:val="1"/>
          <w:numId w:val="1"/>
        </w:numPr>
        <w:pBdr/>
        <w:spacing w:after="0" w:before="0" w:line="360" w:lineRule="auto"/>
        <w:ind w:left="1440" w:hanging="360"/>
        <w:contextualSpacing w:val="1"/>
        <w:rPr>
          <w:sz w:val="24"/>
          <w:szCs w:val="24"/>
        </w:rPr>
      </w:pPr>
      <w:r w:rsidDel="00000000" w:rsidR="00000000" w:rsidRPr="00000000">
        <w:rPr>
          <w:sz w:val="24"/>
          <w:szCs w:val="24"/>
          <w:rtl w:val="0"/>
        </w:rPr>
        <w:t xml:space="preserve">When Maryland was drafting the STP, public comments were put into one chart regardless of Medicaid and DDA. Last month we separated the comments for DDA so the DDA TAT could provide input.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80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b w:val="1"/>
          <w:color w:val="4bacc6"/>
          <w:sz w:val="24"/>
          <w:szCs w:val="24"/>
        </w:rPr>
      </w:pPr>
      <w:r w:rsidDel="00000000" w:rsidR="00000000" w:rsidRPr="00000000">
        <w:rPr>
          <w:b w:val="1"/>
          <w:sz w:val="24"/>
          <w:szCs w:val="24"/>
          <w:rtl w:val="0"/>
        </w:rPr>
        <w:t xml:space="preserve">3. Action Item 3</w:t>
      </w:r>
      <w:r w:rsidDel="00000000" w:rsidR="00000000" w:rsidRPr="00000000">
        <w:rPr>
          <w:rtl w:val="0"/>
        </w:rPr>
      </w:r>
    </w:p>
    <w:p w:rsidR="00000000" w:rsidDel="00000000" w:rsidP="00000000" w:rsidRDefault="00000000" w:rsidRPr="00000000">
      <w:pPr>
        <w:numPr>
          <w:ilvl w:val="0"/>
          <w:numId w:val="4"/>
        </w:numPr>
        <w:pBdr/>
        <w:spacing w:after="0" w:before="0" w:line="360" w:lineRule="auto"/>
        <w:ind w:left="720" w:hanging="360"/>
        <w:contextualSpacing w:val="1"/>
        <w:rPr>
          <w:sz w:val="24"/>
          <w:szCs w:val="24"/>
        </w:rPr>
      </w:pPr>
      <w:r w:rsidDel="00000000" w:rsidR="00000000" w:rsidRPr="00000000">
        <w:rPr>
          <w:sz w:val="24"/>
          <w:szCs w:val="24"/>
          <w:rtl w:val="0"/>
        </w:rPr>
        <w:t xml:space="preserve">Adding COMAR links</w:t>
      </w:r>
    </w:p>
    <w:p w:rsidR="00000000" w:rsidDel="00000000" w:rsidP="00000000" w:rsidRDefault="00000000" w:rsidRPr="00000000">
      <w:pPr>
        <w:numPr>
          <w:ilvl w:val="1"/>
          <w:numId w:val="4"/>
        </w:numPr>
        <w:pBdr/>
        <w:spacing w:after="0" w:before="0" w:line="360" w:lineRule="auto"/>
        <w:ind w:left="1440" w:hanging="360"/>
        <w:contextualSpacing w:val="1"/>
        <w:rPr>
          <w:sz w:val="24"/>
          <w:szCs w:val="24"/>
        </w:rPr>
      </w:pPr>
      <w:r w:rsidDel="00000000" w:rsidR="00000000" w:rsidRPr="00000000">
        <w:rPr>
          <w:sz w:val="24"/>
          <w:szCs w:val="24"/>
          <w:rtl w:val="0"/>
        </w:rPr>
        <w:t xml:space="preserve">Where would you like to put the COMAR links in the crosswalk web (i.e to the left of COMAR 10.02.54  or at the bottom of the chart)?</w:t>
      </w:r>
    </w:p>
    <w:p w:rsidR="00000000" w:rsidDel="00000000" w:rsidP="00000000" w:rsidRDefault="00000000" w:rsidRPr="00000000">
      <w:pPr>
        <w:numPr>
          <w:ilvl w:val="1"/>
          <w:numId w:val="4"/>
        </w:numPr>
        <w:pBdr/>
        <w:spacing w:after="0" w:before="0" w:line="360" w:lineRule="auto"/>
        <w:ind w:left="1440" w:hanging="360"/>
        <w:contextualSpacing w:val="1"/>
        <w:rPr>
          <w:sz w:val="24"/>
          <w:szCs w:val="24"/>
        </w:rPr>
      </w:pPr>
      <w:r w:rsidDel="00000000" w:rsidR="00000000" w:rsidRPr="00000000">
        <w:rPr>
          <w:sz w:val="24"/>
          <w:szCs w:val="24"/>
          <w:rtl w:val="0"/>
        </w:rPr>
        <w:t xml:space="preserve">Answer: Look at the examples from CMS. We can put the link next to the COMAR. </w:t>
      </w:r>
    </w:p>
    <w:p w:rsidR="00000000" w:rsidDel="00000000" w:rsidP="00000000" w:rsidRDefault="00000000" w:rsidRPr="00000000">
      <w:pPr>
        <w:pBdr/>
        <w:spacing w:line="360" w:lineRule="auto"/>
        <w:ind w:left="1440" w:firstLine="0"/>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4. Action Item 4</w:t>
      </w:r>
      <w:r w:rsidDel="00000000" w:rsidR="00000000" w:rsidRPr="00000000">
        <w:rPr>
          <w:rtl w:val="0"/>
        </w:rPr>
      </w:r>
    </w:p>
    <w:p w:rsidR="00000000" w:rsidDel="00000000" w:rsidP="00000000" w:rsidRDefault="00000000" w:rsidRPr="00000000">
      <w:pPr>
        <w:numPr>
          <w:ilvl w:val="0"/>
          <w:numId w:val="3"/>
        </w:numPr>
        <w:pBdr/>
        <w:spacing w:after="0" w:before="0" w:line="360" w:lineRule="auto"/>
        <w:ind w:left="720" w:hanging="360"/>
        <w:contextualSpacing w:val="1"/>
        <w:rPr>
          <w:sz w:val="24"/>
          <w:szCs w:val="24"/>
        </w:rPr>
      </w:pPr>
      <w:r w:rsidDel="00000000" w:rsidR="00000000" w:rsidRPr="00000000">
        <w:rPr>
          <w:sz w:val="24"/>
          <w:szCs w:val="24"/>
          <w:rtl w:val="0"/>
        </w:rPr>
        <w:t xml:space="preserve">Remove p23 and p58--Would you like us to just remove the column or the entire table? </w:t>
      </w:r>
    </w:p>
    <w:p w:rsidR="00000000" w:rsidDel="00000000" w:rsidP="00000000" w:rsidRDefault="00000000" w:rsidRPr="00000000">
      <w:pPr>
        <w:numPr>
          <w:ilvl w:val="0"/>
          <w:numId w:val="3"/>
        </w:numPr>
        <w:pBdr/>
        <w:spacing w:after="0" w:before="0" w:line="360" w:lineRule="auto"/>
        <w:ind w:left="720" w:hanging="360"/>
        <w:contextualSpacing w:val="1"/>
        <w:rPr>
          <w:sz w:val="24"/>
          <w:szCs w:val="24"/>
        </w:rPr>
      </w:pPr>
      <w:r w:rsidDel="00000000" w:rsidR="00000000" w:rsidRPr="00000000">
        <w:rPr>
          <w:sz w:val="24"/>
          <w:szCs w:val="24"/>
          <w:rtl w:val="0"/>
        </w:rPr>
        <w:t xml:space="preserve">Answer: do not remove these pages. Instead, we need to explain to CMS what we meant. The outcome of the assessment is already in Appendix J. We are just going to inform CMS what we have mentioned in the crosswalk.</w:t>
      </w:r>
    </w:p>
    <w:p w:rsidR="00000000" w:rsidDel="00000000" w:rsidP="00000000" w:rsidRDefault="00000000" w:rsidRPr="00000000">
      <w:pPr>
        <w:pBd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5. Action Item 6 and 6b</w:t>
      </w:r>
      <w:r w:rsidDel="00000000" w:rsidR="00000000" w:rsidRPr="00000000">
        <w:rPr>
          <w:rtl w:val="0"/>
        </w:rPr>
      </w:r>
    </w:p>
    <w:p w:rsidR="00000000" w:rsidDel="00000000" w:rsidP="00000000" w:rsidRDefault="00000000" w:rsidRPr="00000000">
      <w:pPr>
        <w:numPr>
          <w:ilvl w:val="0"/>
          <w:numId w:val="8"/>
        </w:numPr>
        <w:pBdr/>
        <w:spacing w:after="0" w:before="0" w:line="360" w:lineRule="auto"/>
        <w:ind w:left="720" w:hanging="360"/>
        <w:contextualSpacing w:val="1"/>
        <w:rPr>
          <w:sz w:val="24"/>
          <w:szCs w:val="24"/>
        </w:rPr>
      </w:pPr>
      <w:r w:rsidDel="00000000" w:rsidR="00000000" w:rsidRPr="00000000">
        <w:rPr>
          <w:sz w:val="24"/>
          <w:szCs w:val="24"/>
          <w:rtl w:val="0"/>
        </w:rPr>
        <w:t xml:space="preserve">Add waiver renewal dates: Create a chart for waiver updates and renewal dates to the separate internal document (Waiver Applications) created. This will be just internal and will not be included in the STP.</w:t>
      </w:r>
    </w:p>
    <w:p w:rsidR="00000000" w:rsidDel="00000000" w:rsidP="00000000" w:rsidRDefault="00000000" w:rsidRPr="00000000">
      <w:pPr>
        <w:numPr>
          <w:ilvl w:val="0"/>
          <w:numId w:val="8"/>
        </w:numPr>
        <w:pBdr/>
        <w:spacing w:after="0" w:before="0" w:line="360" w:lineRule="auto"/>
        <w:ind w:left="720" w:hanging="360"/>
        <w:contextualSpacing w:val="1"/>
        <w:rPr>
          <w:sz w:val="24"/>
          <w:szCs w:val="24"/>
        </w:rPr>
      </w:pPr>
      <w:r w:rsidDel="00000000" w:rsidR="00000000" w:rsidRPr="00000000">
        <w:rPr>
          <w:sz w:val="24"/>
          <w:szCs w:val="24"/>
          <w:rtl w:val="0"/>
        </w:rPr>
        <w:t xml:space="preserve">Separate and add renewal dates</w:t>
      </w:r>
    </w:p>
    <w:p w:rsidR="00000000" w:rsidDel="00000000" w:rsidP="00000000" w:rsidRDefault="00000000" w:rsidRPr="00000000">
      <w:pPr>
        <w:pBd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7. Action Item 7</w:t>
      </w:r>
    </w:p>
    <w:p w:rsidR="00000000" w:rsidDel="00000000" w:rsidP="00000000" w:rsidRDefault="00000000" w:rsidRPr="00000000">
      <w:pPr>
        <w:numPr>
          <w:ilvl w:val="0"/>
          <w:numId w:val="2"/>
        </w:numPr>
        <w:pBdr/>
        <w:spacing w:after="0" w:before="0" w:line="360" w:lineRule="auto"/>
        <w:ind w:left="720" w:hanging="360"/>
        <w:contextualSpacing w:val="1"/>
        <w:rPr>
          <w:sz w:val="24"/>
          <w:szCs w:val="24"/>
        </w:rPr>
      </w:pPr>
      <w:r w:rsidDel="00000000" w:rsidR="00000000" w:rsidRPr="00000000">
        <w:rPr>
          <w:sz w:val="24"/>
          <w:szCs w:val="24"/>
          <w:rtl w:val="0"/>
        </w:rPr>
        <w:t xml:space="preserve">Removal of the waiver application portion--</w:t>
      </w:r>
    </w:p>
    <w:p w:rsidR="00000000" w:rsidDel="00000000" w:rsidP="00000000" w:rsidRDefault="00000000" w:rsidRPr="00000000">
      <w:pPr>
        <w:numPr>
          <w:ilvl w:val="0"/>
          <w:numId w:val="2"/>
        </w:numPr>
        <w:pBdr/>
        <w:spacing w:after="0" w:before="0" w:line="360" w:lineRule="auto"/>
        <w:ind w:left="720" w:hanging="360"/>
        <w:contextualSpacing w:val="1"/>
        <w:rPr>
          <w:sz w:val="24"/>
          <w:szCs w:val="24"/>
        </w:rPr>
      </w:pPr>
      <w:r w:rsidDel="00000000" w:rsidR="00000000" w:rsidRPr="00000000">
        <w:rPr>
          <w:sz w:val="24"/>
          <w:szCs w:val="24"/>
          <w:rtl w:val="0"/>
        </w:rPr>
        <w:t xml:space="preserve">Answer: remove the chart on page 8. Also remove the Appendices K-Q tied to the chart. </w:t>
      </w:r>
    </w:p>
    <w:p w:rsidR="00000000" w:rsidDel="00000000" w:rsidP="00000000" w:rsidRDefault="00000000" w:rsidRPr="00000000">
      <w:pPr>
        <w:pBdr/>
        <w:spacing w:line="360" w:lineRule="auto"/>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8. Action Item 11</w:t>
      </w:r>
    </w:p>
    <w:p w:rsidR="00000000" w:rsidDel="00000000" w:rsidP="00000000" w:rsidRDefault="00000000" w:rsidRPr="00000000">
      <w:pPr>
        <w:numPr>
          <w:ilvl w:val="0"/>
          <w:numId w:val="6"/>
        </w:numPr>
        <w:pBdr/>
        <w:spacing w:after="0" w:before="0" w:line="360" w:lineRule="auto"/>
        <w:ind w:left="720" w:hanging="360"/>
        <w:contextualSpacing w:val="1"/>
        <w:rPr>
          <w:sz w:val="24"/>
          <w:szCs w:val="24"/>
        </w:rPr>
      </w:pPr>
      <w:r w:rsidDel="00000000" w:rsidR="00000000" w:rsidRPr="00000000">
        <w:rPr>
          <w:sz w:val="24"/>
          <w:szCs w:val="24"/>
          <w:rtl w:val="0"/>
        </w:rPr>
        <w:t xml:space="preserve">Narrative about silent and in conflict standards</w:t>
      </w:r>
    </w:p>
    <w:p w:rsidR="00000000" w:rsidDel="00000000" w:rsidP="00000000" w:rsidRDefault="00000000" w:rsidRPr="00000000">
      <w:pPr>
        <w:numPr>
          <w:ilvl w:val="1"/>
          <w:numId w:val="6"/>
        </w:numPr>
        <w:pBdr/>
        <w:spacing w:after="0" w:before="0" w:line="360" w:lineRule="auto"/>
        <w:ind w:left="1440" w:hanging="360"/>
        <w:contextualSpacing w:val="1"/>
        <w:rPr>
          <w:sz w:val="24"/>
          <w:szCs w:val="24"/>
        </w:rPr>
      </w:pPr>
      <w:r w:rsidDel="00000000" w:rsidR="00000000" w:rsidRPr="00000000">
        <w:rPr>
          <w:sz w:val="24"/>
          <w:szCs w:val="24"/>
          <w:rtl w:val="0"/>
        </w:rPr>
        <w:t xml:space="preserve">What is the timeframe?</w:t>
      </w:r>
    </w:p>
    <w:p w:rsidR="00000000" w:rsidDel="00000000" w:rsidP="00000000" w:rsidRDefault="00000000" w:rsidRPr="00000000">
      <w:pPr>
        <w:numPr>
          <w:ilvl w:val="1"/>
          <w:numId w:val="6"/>
        </w:numPr>
        <w:pBdr/>
        <w:spacing w:after="0" w:before="0" w:line="360" w:lineRule="auto"/>
        <w:ind w:left="1440" w:hanging="360"/>
        <w:contextualSpacing w:val="1"/>
        <w:rPr>
          <w:sz w:val="24"/>
          <w:szCs w:val="24"/>
        </w:rPr>
      </w:pPr>
      <w:r w:rsidDel="00000000" w:rsidR="00000000" w:rsidRPr="00000000">
        <w:rPr>
          <w:sz w:val="24"/>
          <w:szCs w:val="24"/>
          <w:rtl w:val="0"/>
        </w:rPr>
        <w:t xml:space="preserve">Answer: For non-compliance rules, there is going to be regulation changes. For rules in conflict, there will be meetings of administration. For silent rules, we are going to send out memos as policy guidance. </w:t>
      </w:r>
    </w:p>
    <w:p w:rsidR="00000000" w:rsidDel="00000000" w:rsidP="00000000" w:rsidRDefault="00000000" w:rsidRPr="00000000">
      <w:pPr>
        <w:numPr>
          <w:ilvl w:val="1"/>
          <w:numId w:val="6"/>
        </w:numPr>
        <w:pBdr/>
        <w:spacing w:after="0" w:before="0" w:line="360" w:lineRule="auto"/>
        <w:ind w:left="1440" w:hanging="360"/>
        <w:contextualSpacing w:val="1"/>
        <w:rPr>
          <w:sz w:val="24"/>
          <w:szCs w:val="24"/>
        </w:rPr>
      </w:pPr>
      <w:r w:rsidDel="00000000" w:rsidR="00000000" w:rsidRPr="00000000">
        <w:rPr>
          <w:sz w:val="24"/>
          <w:szCs w:val="24"/>
          <w:rtl w:val="0"/>
        </w:rPr>
        <w:t xml:space="preserve">DDA/BI/noncompliant deadline to clarify state policy will be 5/5/2017</w:t>
      </w:r>
      <w:r w:rsidDel="00000000" w:rsidR="00000000" w:rsidRPr="00000000">
        <w:rPr>
          <w:rtl w:val="0"/>
        </w:rPr>
      </w:r>
    </w:p>
    <w:p w:rsidR="00000000" w:rsidDel="00000000" w:rsidP="00000000" w:rsidRDefault="00000000" w:rsidRPr="00000000">
      <w:pPr>
        <w:numPr>
          <w:ilvl w:val="1"/>
          <w:numId w:val="6"/>
        </w:numPr>
        <w:pBdr/>
        <w:spacing w:after="0" w:before="0" w:line="360" w:lineRule="auto"/>
        <w:ind w:left="1440" w:hanging="360"/>
        <w:contextualSpacing w:val="1"/>
        <w:rPr>
          <w:sz w:val="24"/>
          <w:szCs w:val="24"/>
        </w:rPr>
      </w:pPr>
      <w:r w:rsidDel="00000000" w:rsidR="00000000" w:rsidRPr="00000000">
        <w:rPr>
          <w:sz w:val="24"/>
          <w:szCs w:val="24"/>
          <w:rtl w:val="0"/>
        </w:rPr>
        <w:t xml:space="preserve">For silent rules, we will include the expectation date to send out the memo (Middle of May) to show our agreement to remediation. </w:t>
      </w:r>
    </w:p>
    <w:p w:rsidR="00000000" w:rsidDel="00000000" w:rsidP="00000000" w:rsidRDefault="00000000" w:rsidRPr="00000000">
      <w:pPr>
        <w:pBdr/>
        <w:spacing w:line="360" w:lineRule="auto"/>
        <w:contextualSpacing w:val="0"/>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bookmarkStart w:colFirst="0" w:colLast="0" w:name="_30j0zll" w:id="1"/>
      <w:bookmarkEnd w:id="1"/>
      <w:r w:rsidDel="00000000" w:rsidR="00000000" w:rsidRPr="00000000">
        <w:rPr>
          <w:b w:val="1"/>
          <w:sz w:val="24"/>
          <w:szCs w:val="24"/>
          <w:rtl w:val="0"/>
        </w:rPr>
        <w:t xml:space="preserve">Miscellaneous Items</w:t>
      </w:r>
    </w:p>
    <w:p w:rsidR="00000000" w:rsidDel="00000000" w:rsidP="00000000" w:rsidRDefault="00000000" w:rsidRPr="00000000">
      <w:pPr>
        <w:numPr>
          <w:ilvl w:val="0"/>
          <w:numId w:val="5"/>
        </w:numPr>
        <w:pBdr/>
        <w:spacing w:after="0" w:before="0" w:line="360" w:lineRule="auto"/>
        <w:ind w:left="720" w:hanging="360"/>
        <w:contextualSpacing w:val="1"/>
        <w:rPr>
          <w:sz w:val="24"/>
          <w:szCs w:val="24"/>
        </w:rPr>
      </w:pPr>
      <w:r w:rsidDel="00000000" w:rsidR="00000000" w:rsidRPr="00000000">
        <w:rPr>
          <w:sz w:val="24"/>
          <w:szCs w:val="24"/>
          <w:rtl w:val="0"/>
        </w:rPr>
        <w:t xml:space="preserve">Create a chart for Section 3: Public Input and Comment </w:t>
      </w:r>
    </w:p>
    <w:p w:rsidR="00000000" w:rsidDel="00000000" w:rsidP="00000000" w:rsidRDefault="00000000" w:rsidRPr="00000000">
      <w:pPr>
        <w:numPr>
          <w:ilvl w:val="0"/>
          <w:numId w:val="5"/>
        </w:numPr>
        <w:pBdr/>
        <w:spacing w:after="0" w:before="0" w:line="360" w:lineRule="auto"/>
        <w:ind w:left="720" w:hanging="360"/>
        <w:contextualSpacing w:val="1"/>
        <w:rPr>
          <w:sz w:val="24"/>
          <w:szCs w:val="24"/>
        </w:rPr>
      </w:pPr>
      <w:r w:rsidDel="00000000" w:rsidR="00000000" w:rsidRPr="00000000">
        <w:rPr>
          <w:sz w:val="24"/>
          <w:szCs w:val="24"/>
          <w:rtl w:val="0"/>
        </w:rPr>
        <w:t xml:space="preserve">Remediation Strategies--move the independent remediation strategies from the waiver descriptions (DDA waivers) to the remediation strategies in the chart </w:t>
      </w:r>
    </w:p>
    <w:p w:rsidR="00000000" w:rsidDel="00000000" w:rsidP="00000000" w:rsidRDefault="00000000" w:rsidRPr="00000000">
      <w:pPr>
        <w:numPr>
          <w:ilvl w:val="0"/>
          <w:numId w:val="5"/>
        </w:numPr>
        <w:pBdr/>
        <w:spacing w:after="0" w:before="0" w:line="360" w:lineRule="auto"/>
        <w:ind w:left="720" w:hanging="360"/>
        <w:contextualSpacing w:val="1"/>
        <w:rPr>
          <w:sz w:val="24"/>
          <w:szCs w:val="24"/>
        </w:rPr>
      </w:pPr>
      <w:r w:rsidDel="00000000" w:rsidR="00000000" w:rsidRPr="00000000">
        <w:rPr>
          <w:sz w:val="24"/>
          <w:szCs w:val="24"/>
          <w:rtl w:val="0"/>
        </w:rPr>
        <w:t xml:space="preserve">Remove the bottom of page 31 (DDA Oversight…)</w:t>
      </w:r>
    </w:p>
    <w:p w:rsidR="00000000" w:rsidDel="00000000" w:rsidP="00000000" w:rsidRDefault="00000000" w:rsidRPr="00000000">
      <w:pPr>
        <w:numPr>
          <w:ilvl w:val="0"/>
          <w:numId w:val="5"/>
        </w:numPr>
        <w:pBdr/>
        <w:spacing w:after="0" w:before="0" w:line="360" w:lineRule="auto"/>
        <w:ind w:left="720" w:hanging="360"/>
        <w:contextualSpacing w:val="1"/>
        <w:rPr>
          <w:b w:val="1"/>
          <w:sz w:val="24"/>
          <w:szCs w:val="24"/>
        </w:rPr>
      </w:pPr>
      <w:r w:rsidDel="00000000" w:rsidR="00000000" w:rsidRPr="00000000">
        <w:rPr>
          <w:b w:val="1"/>
          <w:sz w:val="24"/>
          <w:szCs w:val="24"/>
          <w:rtl w:val="0"/>
        </w:rPr>
        <w:t xml:space="preserve">Change the language on Page 6: Remove “Waiver applications, State Plan Amendment”</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upperLetter"/>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image" Target="media/image01.png"/><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3511CDB-2A12-48C7-AD01-C02F7229B31B}"/>
</file>

<file path=customXml/itemProps2.xml><?xml version="1.0" encoding="utf-8"?>
<ds:datastoreItem xmlns:ds="http://schemas.openxmlformats.org/officeDocument/2006/customXml" ds:itemID="{ADF6139C-CC53-4D57-A3F4-B99E281ED7F4}"/>
</file>

<file path=customXml/itemProps3.xml><?xml version="1.0" encoding="utf-8"?>
<ds:datastoreItem xmlns:ds="http://schemas.openxmlformats.org/officeDocument/2006/customXml" ds:itemID="{61A9F14B-193D-4E88-8368-BBFF805DB51E}"/>
</file>

<file path=customXml/itemProps4.xml><?xml version="1.0" encoding="utf-8"?>
<ds:datastoreItem xmlns:ds="http://schemas.openxmlformats.org/officeDocument/2006/customXml" ds:itemID="{D6DD0719-671F-4B96-B963-039FF454855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b09863c0-d4d7-4cad-869a-72a4581330ce</vt:lpwstr>
  </property>
</Properties>
</file>