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2D" w:rsidRPr="00715A57" w:rsidRDefault="00EA681A" w:rsidP="00715A57">
      <w:pPr>
        <w:spacing w:after="0" w:line="240" w:lineRule="auto"/>
        <w:contextualSpacing/>
        <w:jc w:val="center"/>
        <w:rPr>
          <w:b/>
          <w:sz w:val="28"/>
          <w:szCs w:val="28"/>
        </w:rPr>
      </w:pPr>
      <w:r w:rsidRPr="00C40D2D">
        <w:rPr>
          <w:b/>
          <w:sz w:val="28"/>
          <w:szCs w:val="28"/>
        </w:rPr>
        <w:t xml:space="preserve">Maryland </w:t>
      </w:r>
      <w:r w:rsidR="005036E1" w:rsidRPr="00C40D2D">
        <w:rPr>
          <w:b/>
          <w:sz w:val="28"/>
          <w:szCs w:val="28"/>
        </w:rPr>
        <w:t>Overdose Response Program</w:t>
      </w:r>
    </w:p>
    <w:p w:rsidR="00943493" w:rsidRPr="00EA0FD7" w:rsidRDefault="009F7DCD" w:rsidP="00943493">
      <w:pPr>
        <w:spacing w:after="0" w:line="240" w:lineRule="auto"/>
        <w:contextualSpacing/>
        <w:jc w:val="center"/>
        <w:rPr>
          <w:b/>
          <w:sz w:val="24"/>
          <w:szCs w:val="24"/>
        </w:rPr>
      </w:pPr>
      <w:r w:rsidRPr="00EA0FD7">
        <w:rPr>
          <w:b/>
          <w:sz w:val="24"/>
          <w:szCs w:val="24"/>
        </w:rPr>
        <w:t>NALOXONE STANDING ORDER</w:t>
      </w:r>
      <w:r w:rsidR="006E73DD">
        <w:rPr>
          <w:b/>
          <w:sz w:val="24"/>
          <w:szCs w:val="24"/>
        </w:rPr>
        <w:t xml:space="preserve"> FOR PHARMACY DISPENSING</w:t>
      </w:r>
    </w:p>
    <w:p w:rsidR="00D400D1" w:rsidRDefault="00D400D1" w:rsidP="00EA681A">
      <w:pPr>
        <w:spacing w:after="0" w:line="240" w:lineRule="auto"/>
        <w:contextualSpacing/>
        <w:jc w:val="center"/>
      </w:pPr>
    </w:p>
    <w:p w:rsidR="00574E1B" w:rsidRPr="00574E1B" w:rsidRDefault="00574E1B" w:rsidP="00EA681A">
      <w:pPr>
        <w:spacing w:after="0"/>
        <w:contextualSpacing/>
        <w:rPr>
          <w:b/>
        </w:rPr>
      </w:pPr>
      <w:r>
        <w:rPr>
          <w:b/>
        </w:rPr>
        <w:t>Background</w:t>
      </w:r>
    </w:p>
    <w:p w:rsidR="008C598C" w:rsidRDefault="008C598C" w:rsidP="008C598C">
      <w:pPr>
        <w:spacing w:after="0"/>
        <w:contextualSpacing/>
      </w:pPr>
      <w:r>
        <w:t>Naloxone is indicated for the reversal of respiratory depression or unresponsiveness due to opioid overdose.  The Maryland Overdose Response Program (ORP)</w:t>
      </w:r>
      <w:r>
        <w:rPr>
          <w:rStyle w:val="EndnoteReference"/>
        </w:rPr>
        <w:endnoteReference w:id="1"/>
      </w:r>
      <w:r>
        <w:t xml:space="preserve"> was established by law</w:t>
      </w:r>
      <w:r>
        <w:rPr>
          <w:rStyle w:val="EndnoteReference"/>
        </w:rPr>
        <w:endnoteReference w:id="2"/>
      </w:r>
      <w:r>
        <w:t xml:space="preserve"> in 2013 to increase access to overdose education and naloxone to reduce opioid overdose deaths throughout the state. ORP allows non-medical persons to be trained and certified in overdose recognition and response. The Department of Health and Mental Hygiene (DHMH) authorizes organizations to conduct ORP trainings and issue certificates to trainees. Certificate holders may lawfully be prescribed and dispensed naloxone and administer it to someone believed to be experiencing opioid overdose.</w:t>
      </w:r>
      <w:r w:rsidR="00AA7130">
        <w:t xml:space="preserve"> </w:t>
      </w:r>
      <w:r>
        <w:t xml:space="preserve">Under Health-General Article § 13-3108, Code of Maryland, </w:t>
      </w:r>
      <w:r w:rsidR="006E73DD" w:rsidRPr="006E73DD">
        <w:t>any licensed healthcare professional with dispensing authority (e.g. a pharmacist)</w:t>
      </w:r>
      <w:r w:rsidR="006E73DD">
        <w:t xml:space="preserve"> may dispense naloxone to an ORP certificate holder under a standing order issued by a </w:t>
      </w:r>
      <w:r>
        <w:t xml:space="preserve">physician </w:t>
      </w:r>
      <w:r w:rsidR="006E73DD">
        <w:t xml:space="preserve">who </w:t>
      </w:r>
      <w:r>
        <w:t>supervises or conducts ORP tr</w:t>
      </w:r>
      <w:r w:rsidR="006E73DD">
        <w:t xml:space="preserve">ainings on behalf of an authorized organization. </w:t>
      </w:r>
    </w:p>
    <w:p w:rsidR="001D2167" w:rsidRDefault="001D2167" w:rsidP="00EA681A">
      <w:pPr>
        <w:spacing w:after="0"/>
        <w:contextualSpacing/>
      </w:pPr>
    </w:p>
    <w:p w:rsidR="009629E8" w:rsidRPr="0060098C" w:rsidRDefault="006E73DD" w:rsidP="00EA681A">
      <w:pPr>
        <w:spacing w:after="0"/>
        <w:contextualSpacing/>
        <w:rPr>
          <w:b/>
        </w:rPr>
      </w:pPr>
      <w:r>
        <w:rPr>
          <w:b/>
        </w:rPr>
        <w:t>Physician</w:t>
      </w:r>
      <w:r w:rsidR="002D0659">
        <w:rPr>
          <w:b/>
        </w:rPr>
        <w:t xml:space="preserve"> and Authorized Entity</w:t>
      </w:r>
      <w:r w:rsidR="001D2167">
        <w:rPr>
          <w:b/>
        </w:rPr>
        <w:t xml:space="preserve"> Information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50"/>
      </w:tblGrid>
      <w:tr w:rsidR="001D2167" w:rsidTr="00AA7130">
        <w:trPr>
          <w:trHeight w:val="395"/>
        </w:trPr>
        <w:tc>
          <w:tcPr>
            <w:tcW w:w="2610" w:type="dxa"/>
            <w:vAlign w:val="bottom"/>
          </w:tcPr>
          <w:p w:rsidR="001D2167" w:rsidRDefault="006E73DD" w:rsidP="006E73DD">
            <w:pPr>
              <w:contextualSpacing/>
            </w:pPr>
            <w:r>
              <w:t>Physician</w:t>
            </w:r>
            <w:r w:rsidR="001D2167">
              <w:t xml:space="preserve"> Name</w:t>
            </w:r>
            <w:r>
              <w:t xml:space="preserve"> &amp; Title:</w:t>
            </w:r>
          </w:p>
        </w:tc>
        <w:tc>
          <w:tcPr>
            <w:tcW w:w="6750" w:type="dxa"/>
            <w:tcBorders>
              <w:bottom w:val="single" w:sz="4" w:space="0" w:color="auto"/>
            </w:tcBorders>
            <w:vAlign w:val="bottom"/>
          </w:tcPr>
          <w:p w:rsidR="001D2167" w:rsidRDefault="001D2167" w:rsidP="00744B9E">
            <w:pPr>
              <w:contextualSpacing/>
            </w:pPr>
          </w:p>
        </w:tc>
      </w:tr>
      <w:tr w:rsidR="001D2167" w:rsidTr="00AA7130">
        <w:trPr>
          <w:trHeight w:val="710"/>
        </w:trPr>
        <w:tc>
          <w:tcPr>
            <w:tcW w:w="2610" w:type="dxa"/>
            <w:vAlign w:val="bottom"/>
          </w:tcPr>
          <w:p w:rsidR="001D2167" w:rsidRDefault="006E73DD" w:rsidP="00744B9E">
            <w:pPr>
              <w:contextualSpacing/>
            </w:pPr>
            <w:r>
              <w:t>Physician</w:t>
            </w:r>
            <w:r w:rsidR="009629E8">
              <w:t xml:space="preserve"> Maryland License N</w:t>
            </w:r>
            <w:r w:rsidR="001D2167">
              <w:t>umber:</w:t>
            </w:r>
          </w:p>
        </w:tc>
        <w:tc>
          <w:tcPr>
            <w:tcW w:w="6750" w:type="dxa"/>
            <w:tcBorders>
              <w:top w:val="single" w:sz="4" w:space="0" w:color="auto"/>
              <w:bottom w:val="single" w:sz="4" w:space="0" w:color="auto"/>
            </w:tcBorders>
            <w:vAlign w:val="bottom"/>
          </w:tcPr>
          <w:p w:rsidR="001D2167" w:rsidRDefault="001D2167" w:rsidP="00744B9E">
            <w:pPr>
              <w:contextualSpacing/>
            </w:pPr>
          </w:p>
        </w:tc>
      </w:tr>
      <w:tr w:rsidR="00AA7130" w:rsidTr="00AA7130">
        <w:trPr>
          <w:trHeight w:val="710"/>
        </w:trPr>
        <w:tc>
          <w:tcPr>
            <w:tcW w:w="2610" w:type="dxa"/>
            <w:vAlign w:val="bottom"/>
          </w:tcPr>
          <w:p w:rsidR="00AA7130" w:rsidRDefault="00AA7130" w:rsidP="002D0659">
            <w:pPr>
              <w:contextualSpacing/>
            </w:pPr>
            <w:r>
              <w:t xml:space="preserve">ORP Authorized </w:t>
            </w:r>
            <w:r w:rsidR="002D0659">
              <w:t>Entity Name</w:t>
            </w:r>
            <w:r>
              <w:t>:</w:t>
            </w:r>
          </w:p>
        </w:tc>
        <w:tc>
          <w:tcPr>
            <w:tcW w:w="6750" w:type="dxa"/>
            <w:tcBorders>
              <w:top w:val="single" w:sz="4" w:space="0" w:color="auto"/>
              <w:bottom w:val="single" w:sz="4" w:space="0" w:color="auto"/>
            </w:tcBorders>
            <w:vAlign w:val="bottom"/>
          </w:tcPr>
          <w:p w:rsidR="00AA7130" w:rsidRDefault="00AA7130" w:rsidP="00744B9E">
            <w:pPr>
              <w:contextualSpacing/>
            </w:pPr>
          </w:p>
        </w:tc>
      </w:tr>
    </w:tbl>
    <w:p w:rsidR="0060098C" w:rsidRDefault="0060098C" w:rsidP="00EA681A">
      <w:pPr>
        <w:spacing w:after="0"/>
        <w:contextualSpacing/>
      </w:pPr>
    </w:p>
    <w:p w:rsidR="0060098C" w:rsidRPr="0060098C" w:rsidRDefault="0060098C" w:rsidP="00EA681A">
      <w:pPr>
        <w:spacing w:after="0"/>
        <w:contextualSpacing/>
        <w:rPr>
          <w:b/>
        </w:rPr>
      </w:pPr>
      <w:r>
        <w:rPr>
          <w:b/>
        </w:rPr>
        <w:t>Naloxone Formulation</w:t>
      </w:r>
    </w:p>
    <w:p w:rsidR="003E09DB" w:rsidRDefault="0060098C" w:rsidP="0060098C">
      <w:pPr>
        <w:spacing w:after="0"/>
      </w:pPr>
      <w:r>
        <w:t xml:space="preserve">This standing order is for naloxone hydrochloride and necessary paraphernalia for administration. Naloxone formulations covered under this standing order </w:t>
      </w:r>
      <w:r w:rsidR="00FC4A97">
        <w:t>include (check all that apply</w:t>
      </w:r>
      <w:r w:rsidR="003E09DB">
        <w:t xml:space="preserve"> and indicate </w:t>
      </w:r>
      <w:r w:rsidR="006E73DD">
        <w:t xml:space="preserve">any </w:t>
      </w:r>
      <w:r w:rsidR="003E09DB">
        <w:t>conditions under which each formulation would be dispensed</w:t>
      </w:r>
      <w:r w:rsidR="00FC4A97">
        <w:t>):</w:t>
      </w:r>
    </w:p>
    <w:tbl>
      <w:tblPr>
        <w:tblStyle w:val="TableGrid"/>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1266"/>
        <w:gridCol w:w="2984"/>
        <w:gridCol w:w="4254"/>
      </w:tblGrid>
      <w:tr w:rsidR="00AA7130" w:rsidRPr="003E09DB" w:rsidTr="00AA7130">
        <w:trPr>
          <w:trHeight w:val="801"/>
        </w:trPr>
        <w:tc>
          <w:tcPr>
            <w:tcW w:w="1284" w:type="dxa"/>
            <w:tcBorders>
              <w:top w:val="single" w:sz="4" w:space="0" w:color="auto"/>
              <w:left w:val="single" w:sz="4" w:space="0" w:color="auto"/>
              <w:bottom w:val="single" w:sz="4" w:space="0" w:color="auto"/>
            </w:tcBorders>
            <w:vAlign w:val="center"/>
          </w:tcPr>
          <w:p w:rsidR="003E09DB" w:rsidRPr="003E09DB" w:rsidRDefault="003E09DB" w:rsidP="006E73DD">
            <w:pPr>
              <w:jc w:val="center"/>
              <w:rPr>
                <w:b/>
              </w:rPr>
            </w:pPr>
            <w:r w:rsidRPr="003E09DB">
              <w:rPr>
                <w:b/>
              </w:rPr>
              <w:t>Authorized</w:t>
            </w:r>
          </w:p>
        </w:tc>
        <w:tc>
          <w:tcPr>
            <w:tcW w:w="1266" w:type="dxa"/>
            <w:tcBorders>
              <w:top w:val="single" w:sz="4" w:space="0" w:color="auto"/>
              <w:bottom w:val="single" w:sz="4" w:space="0" w:color="auto"/>
            </w:tcBorders>
            <w:vAlign w:val="center"/>
          </w:tcPr>
          <w:p w:rsidR="003E09DB" w:rsidRPr="003E09DB" w:rsidRDefault="003E09DB" w:rsidP="006E73DD">
            <w:pPr>
              <w:jc w:val="center"/>
              <w:rPr>
                <w:b/>
              </w:rPr>
            </w:pPr>
            <w:r w:rsidRPr="003E09DB">
              <w:rPr>
                <w:b/>
              </w:rPr>
              <w:t>Not Authorized</w:t>
            </w:r>
          </w:p>
        </w:tc>
        <w:tc>
          <w:tcPr>
            <w:tcW w:w="2984" w:type="dxa"/>
            <w:tcBorders>
              <w:top w:val="single" w:sz="4" w:space="0" w:color="auto"/>
              <w:bottom w:val="single" w:sz="4" w:space="0" w:color="auto"/>
              <w:right w:val="single" w:sz="4" w:space="0" w:color="auto"/>
            </w:tcBorders>
            <w:vAlign w:val="center"/>
          </w:tcPr>
          <w:p w:rsidR="003E09DB" w:rsidRPr="003E09DB" w:rsidRDefault="003E09DB" w:rsidP="006E73DD">
            <w:pPr>
              <w:jc w:val="center"/>
              <w:rPr>
                <w:b/>
              </w:rPr>
            </w:pPr>
            <w:r w:rsidRPr="003E09DB">
              <w:rPr>
                <w:b/>
              </w:rPr>
              <w:t>Naloxone formulation and administration supplies</w:t>
            </w:r>
          </w:p>
        </w:tc>
        <w:tc>
          <w:tcPr>
            <w:tcW w:w="4254" w:type="dxa"/>
            <w:tcBorders>
              <w:top w:val="single" w:sz="4" w:space="0" w:color="auto"/>
              <w:left w:val="single" w:sz="4" w:space="0" w:color="auto"/>
              <w:bottom w:val="single" w:sz="4" w:space="0" w:color="auto"/>
              <w:right w:val="single" w:sz="4" w:space="0" w:color="auto"/>
            </w:tcBorders>
            <w:vAlign w:val="center"/>
          </w:tcPr>
          <w:p w:rsidR="003E09DB" w:rsidRPr="003E09DB" w:rsidRDefault="003E09DB" w:rsidP="006E73DD">
            <w:pPr>
              <w:jc w:val="center"/>
              <w:rPr>
                <w:b/>
              </w:rPr>
            </w:pPr>
            <w:r>
              <w:rPr>
                <w:b/>
              </w:rPr>
              <w:t>Conditions</w:t>
            </w:r>
            <w:r w:rsidR="008C598C">
              <w:rPr>
                <w:b/>
              </w:rPr>
              <w:t xml:space="preserve"> for dispensing</w:t>
            </w:r>
          </w:p>
        </w:tc>
      </w:tr>
      <w:tr w:rsidR="00AA7130" w:rsidRPr="003E09DB" w:rsidTr="00AA7130">
        <w:trPr>
          <w:trHeight w:val="921"/>
        </w:trPr>
        <w:tc>
          <w:tcPr>
            <w:tcW w:w="1284" w:type="dxa"/>
            <w:tcBorders>
              <w:top w:val="single" w:sz="4" w:space="0" w:color="auto"/>
              <w:left w:val="single" w:sz="4" w:space="0" w:color="auto"/>
              <w:bottom w:val="single" w:sz="4" w:space="0" w:color="auto"/>
            </w:tcBorders>
          </w:tcPr>
          <w:p w:rsidR="003E09DB" w:rsidRPr="003E09DB" w:rsidRDefault="00993D2C" w:rsidP="003E09DB">
            <w:pPr>
              <w:jc w:val="center"/>
            </w:pPr>
            <w:sdt>
              <w:sdtPr>
                <w:alias w:val="2mg_2ml_auth"/>
                <w:tag w:val="2mg_2ml_auth"/>
                <w:id w:val="-61058982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1266" w:type="dxa"/>
            <w:tcBorders>
              <w:top w:val="single" w:sz="4" w:space="0" w:color="auto"/>
              <w:bottom w:val="single" w:sz="4" w:space="0" w:color="auto"/>
            </w:tcBorders>
          </w:tcPr>
          <w:p w:rsidR="003E09DB" w:rsidRPr="003E09DB" w:rsidRDefault="00993D2C" w:rsidP="003E09DB">
            <w:pPr>
              <w:jc w:val="center"/>
            </w:pPr>
            <w:sdt>
              <w:sdtPr>
                <w:id w:val="437806174"/>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984" w:type="dxa"/>
            <w:tcBorders>
              <w:top w:val="single" w:sz="4" w:space="0" w:color="auto"/>
              <w:bottom w:val="single" w:sz="4" w:space="0" w:color="auto"/>
              <w:right w:val="single" w:sz="4" w:space="0" w:color="auto"/>
            </w:tcBorders>
          </w:tcPr>
          <w:p w:rsidR="003E09DB" w:rsidRPr="003E09DB" w:rsidRDefault="003E09DB" w:rsidP="00B51E8D">
            <w:r w:rsidRPr="003E09DB">
              <w:t xml:space="preserve">2mg/2mL </w:t>
            </w:r>
            <w:proofErr w:type="spellStart"/>
            <w:r w:rsidRPr="003E09DB">
              <w:t>Luer</w:t>
            </w:r>
            <w:proofErr w:type="spellEnd"/>
            <w:r w:rsidRPr="003E09DB">
              <w:t>-Jet prefilled syringe w/ intranas</w:t>
            </w:r>
            <w:bookmarkStart w:id="0" w:name="_GoBack"/>
            <w:bookmarkEnd w:id="0"/>
            <w:r w:rsidRPr="003E09DB">
              <w:t>al mucosal atomization device</w:t>
            </w:r>
          </w:p>
        </w:tc>
        <w:tc>
          <w:tcPr>
            <w:tcW w:w="4254" w:type="dxa"/>
            <w:tcBorders>
              <w:top w:val="single" w:sz="4" w:space="0" w:color="auto"/>
              <w:left w:val="single" w:sz="4" w:space="0" w:color="auto"/>
              <w:bottom w:val="single" w:sz="4" w:space="0" w:color="auto"/>
              <w:right w:val="single" w:sz="4" w:space="0" w:color="auto"/>
            </w:tcBorders>
          </w:tcPr>
          <w:p w:rsidR="003E09DB" w:rsidRPr="003E09DB" w:rsidRDefault="003E09DB" w:rsidP="00B51E8D"/>
        </w:tc>
      </w:tr>
      <w:tr w:rsidR="00AA7130" w:rsidRPr="003E09DB" w:rsidTr="00AA7130">
        <w:trPr>
          <w:trHeight w:val="824"/>
        </w:trPr>
        <w:tc>
          <w:tcPr>
            <w:tcW w:w="1284" w:type="dxa"/>
            <w:tcBorders>
              <w:top w:val="single" w:sz="4" w:space="0" w:color="auto"/>
              <w:left w:val="single" w:sz="4" w:space="0" w:color="auto"/>
              <w:bottom w:val="single" w:sz="4" w:space="0" w:color="auto"/>
            </w:tcBorders>
          </w:tcPr>
          <w:p w:rsidR="003E09DB" w:rsidRPr="003E09DB" w:rsidRDefault="00993D2C" w:rsidP="003E09DB">
            <w:pPr>
              <w:contextualSpacing/>
              <w:jc w:val="center"/>
            </w:pPr>
            <w:sdt>
              <w:sdtPr>
                <w:id w:val="1472946063"/>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1266" w:type="dxa"/>
            <w:tcBorders>
              <w:top w:val="single" w:sz="4" w:space="0" w:color="auto"/>
              <w:bottom w:val="single" w:sz="4" w:space="0" w:color="auto"/>
            </w:tcBorders>
          </w:tcPr>
          <w:p w:rsidR="003E09DB" w:rsidRPr="003E09DB" w:rsidRDefault="00993D2C" w:rsidP="003E09DB">
            <w:pPr>
              <w:contextualSpacing/>
              <w:jc w:val="center"/>
            </w:pPr>
            <w:sdt>
              <w:sdtPr>
                <w:id w:val="809361022"/>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2984" w:type="dxa"/>
            <w:tcBorders>
              <w:top w:val="single" w:sz="4" w:space="0" w:color="auto"/>
              <w:bottom w:val="single" w:sz="4" w:space="0" w:color="auto"/>
              <w:right w:val="single" w:sz="4" w:space="0" w:color="auto"/>
            </w:tcBorders>
          </w:tcPr>
          <w:p w:rsidR="003E09DB" w:rsidRPr="003E09DB" w:rsidRDefault="003E09DB" w:rsidP="00B51E8D">
            <w:pPr>
              <w:contextualSpacing/>
            </w:pPr>
            <w:r w:rsidRPr="003E09DB">
              <w:t>0.4/mL in 1mL single dose w/ intramuscular syringes</w:t>
            </w:r>
          </w:p>
        </w:tc>
        <w:tc>
          <w:tcPr>
            <w:tcW w:w="4254" w:type="dxa"/>
            <w:tcBorders>
              <w:top w:val="single" w:sz="4" w:space="0" w:color="auto"/>
              <w:left w:val="single" w:sz="4" w:space="0" w:color="auto"/>
              <w:bottom w:val="single" w:sz="4" w:space="0" w:color="auto"/>
              <w:right w:val="single" w:sz="4" w:space="0" w:color="auto"/>
            </w:tcBorders>
          </w:tcPr>
          <w:p w:rsidR="003E09DB" w:rsidRPr="003E09DB" w:rsidRDefault="003E09DB" w:rsidP="00B51E8D">
            <w:pPr>
              <w:contextualSpacing/>
            </w:pPr>
          </w:p>
        </w:tc>
      </w:tr>
      <w:tr w:rsidR="00AA7130" w:rsidRPr="003E09DB" w:rsidTr="00AA7130">
        <w:trPr>
          <w:trHeight w:val="801"/>
        </w:trPr>
        <w:tc>
          <w:tcPr>
            <w:tcW w:w="1284" w:type="dxa"/>
            <w:tcBorders>
              <w:top w:val="single" w:sz="4" w:space="0" w:color="auto"/>
              <w:left w:val="single" w:sz="4" w:space="0" w:color="auto"/>
              <w:bottom w:val="single" w:sz="4" w:space="0" w:color="auto"/>
            </w:tcBorders>
          </w:tcPr>
          <w:p w:rsidR="003E09DB" w:rsidRPr="003E09DB" w:rsidRDefault="00993D2C" w:rsidP="003E09DB">
            <w:pPr>
              <w:contextualSpacing/>
              <w:jc w:val="center"/>
            </w:pPr>
            <w:sdt>
              <w:sdtPr>
                <w:id w:val="-702251715"/>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1266" w:type="dxa"/>
            <w:tcBorders>
              <w:top w:val="single" w:sz="4" w:space="0" w:color="auto"/>
              <w:bottom w:val="single" w:sz="4" w:space="0" w:color="auto"/>
            </w:tcBorders>
          </w:tcPr>
          <w:p w:rsidR="003E09DB" w:rsidRPr="003E09DB" w:rsidRDefault="00993D2C" w:rsidP="003E09DB">
            <w:pPr>
              <w:contextualSpacing/>
              <w:jc w:val="center"/>
            </w:pPr>
            <w:sdt>
              <w:sdtPr>
                <w:id w:val="-489402464"/>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2984" w:type="dxa"/>
            <w:tcBorders>
              <w:top w:val="single" w:sz="4" w:space="0" w:color="auto"/>
              <w:bottom w:val="single" w:sz="4" w:space="0" w:color="auto"/>
              <w:right w:val="single" w:sz="4" w:space="0" w:color="auto"/>
            </w:tcBorders>
          </w:tcPr>
          <w:p w:rsidR="003E09DB" w:rsidRPr="003E09DB" w:rsidRDefault="003E09DB" w:rsidP="00B51E8D">
            <w:pPr>
              <w:contextualSpacing/>
            </w:pPr>
            <w:r w:rsidRPr="003E09DB">
              <w:t>0.4mg/0.4ml auto-injector for intramuscular or subcutaneous use</w:t>
            </w:r>
          </w:p>
        </w:tc>
        <w:tc>
          <w:tcPr>
            <w:tcW w:w="4254" w:type="dxa"/>
            <w:tcBorders>
              <w:top w:val="single" w:sz="4" w:space="0" w:color="auto"/>
              <w:left w:val="single" w:sz="4" w:space="0" w:color="auto"/>
              <w:bottom w:val="single" w:sz="4" w:space="0" w:color="auto"/>
              <w:right w:val="single" w:sz="4" w:space="0" w:color="auto"/>
            </w:tcBorders>
          </w:tcPr>
          <w:p w:rsidR="003E09DB" w:rsidRPr="003E09DB" w:rsidRDefault="003E09DB" w:rsidP="00B51E8D">
            <w:pPr>
              <w:contextualSpacing/>
            </w:pPr>
          </w:p>
        </w:tc>
      </w:tr>
      <w:tr w:rsidR="00AA7130" w:rsidRPr="003E09DB" w:rsidTr="00AA7130">
        <w:trPr>
          <w:trHeight w:val="921"/>
        </w:trPr>
        <w:tc>
          <w:tcPr>
            <w:tcW w:w="1284" w:type="dxa"/>
            <w:tcBorders>
              <w:top w:val="single" w:sz="4" w:space="0" w:color="auto"/>
              <w:left w:val="single" w:sz="4" w:space="0" w:color="auto"/>
              <w:bottom w:val="single" w:sz="4" w:space="0" w:color="auto"/>
            </w:tcBorders>
          </w:tcPr>
          <w:p w:rsidR="003E09DB" w:rsidRPr="003E09DB" w:rsidRDefault="00993D2C" w:rsidP="003E09DB">
            <w:pPr>
              <w:contextualSpacing/>
              <w:jc w:val="center"/>
            </w:pPr>
            <w:sdt>
              <w:sdtPr>
                <w:id w:val="1586797202"/>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1266" w:type="dxa"/>
            <w:tcBorders>
              <w:top w:val="single" w:sz="4" w:space="0" w:color="auto"/>
              <w:bottom w:val="single" w:sz="4" w:space="0" w:color="auto"/>
            </w:tcBorders>
          </w:tcPr>
          <w:p w:rsidR="003E09DB" w:rsidRPr="003E09DB" w:rsidRDefault="00993D2C" w:rsidP="003E09DB">
            <w:pPr>
              <w:contextualSpacing/>
              <w:jc w:val="center"/>
            </w:pPr>
            <w:sdt>
              <w:sdtPr>
                <w:id w:val="-734779699"/>
                <w14:checkbox>
                  <w14:checked w14:val="0"/>
                  <w14:checkedState w14:val="2612" w14:font="MS Gothic"/>
                  <w14:uncheckedState w14:val="2610" w14:font="MS Gothic"/>
                </w14:checkbox>
              </w:sdtPr>
              <w:sdtEndPr/>
              <w:sdtContent>
                <w:r w:rsidR="003E09DB" w:rsidRPr="003E09DB">
                  <w:rPr>
                    <w:rFonts w:ascii="MS Gothic" w:eastAsia="MS Gothic" w:hAnsi="MS Gothic" w:hint="eastAsia"/>
                  </w:rPr>
                  <w:t>☐</w:t>
                </w:r>
              </w:sdtContent>
            </w:sdt>
          </w:p>
        </w:tc>
        <w:tc>
          <w:tcPr>
            <w:tcW w:w="2984" w:type="dxa"/>
            <w:tcBorders>
              <w:top w:val="single" w:sz="4" w:space="0" w:color="auto"/>
              <w:bottom w:val="single" w:sz="4" w:space="0" w:color="auto"/>
              <w:right w:val="single" w:sz="4" w:space="0" w:color="auto"/>
            </w:tcBorders>
          </w:tcPr>
          <w:p w:rsidR="003E09DB" w:rsidRPr="003E09DB" w:rsidRDefault="003E09DB" w:rsidP="003E09DB">
            <w:pPr>
              <w:contextualSpacing/>
            </w:pPr>
            <w:r w:rsidRPr="003E09DB">
              <w:t xml:space="preserve">Other: </w:t>
            </w:r>
            <w:r w:rsidRPr="003E09DB">
              <w:softHyphen/>
            </w:r>
            <w:r w:rsidRPr="003E09DB">
              <w:softHyphen/>
            </w:r>
            <w:r w:rsidRPr="003E09DB">
              <w:softHyphen/>
            </w:r>
            <w:r w:rsidRPr="003E09DB">
              <w:softHyphen/>
            </w:r>
            <w:r w:rsidRPr="003E09DB">
              <w:softHyphen/>
            </w:r>
            <w:r w:rsidRPr="003E09DB">
              <w:softHyphen/>
            </w:r>
            <w:r w:rsidRPr="003E09DB">
              <w:softHyphen/>
            </w:r>
          </w:p>
        </w:tc>
        <w:tc>
          <w:tcPr>
            <w:tcW w:w="4254" w:type="dxa"/>
            <w:tcBorders>
              <w:top w:val="single" w:sz="4" w:space="0" w:color="auto"/>
              <w:left w:val="single" w:sz="4" w:space="0" w:color="auto"/>
              <w:bottom w:val="single" w:sz="4" w:space="0" w:color="auto"/>
              <w:right w:val="single" w:sz="4" w:space="0" w:color="auto"/>
            </w:tcBorders>
          </w:tcPr>
          <w:p w:rsidR="003E09DB" w:rsidRPr="003E09DB" w:rsidRDefault="003E09DB" w:rsidP="00B51E8D">
            <w:pPr>
              <w:contextualSpacing/>
            </w:pPr>
          </w:p>
        </w:tc>
      </w:tr>
    </w:tbl>
    <w:p w:rsidR="00483D6B" w:rsidRDefault="00483D6B" w:rsidP="00EA681A">
      <w:pPr>
        <w:spacing w:after="0"/>
        <w:contextualSpacing/>
        <w:rPr>
          <w:b/>
        </w:rPr>
      </w:pPr>
    </w:p>
    <w:p w:rsidR="001A3696" w:rsidRPr="00045BF9" w:rsidRDefault="00045BF9" w:rsidP="00EA681A">
      <w:pPr>
        <w:spacing w:after="0"/>
        <w:contextualSpacing/>
        <w:rPr>
          <w:b/>
        </w:rPr>
      </w:pPr>
      <w:r w:rsidRPr="00045BF9">
        <w:rPr>
          <w:b/>
        </w:rPr>
        <w:lastRenderedPageBreak/>
        <w:t xml:space="preserve">Order to Dispense </w:t>
      </w:r>
    </w:p>
    <w:p w:rsidR="00683A8E" w:rsidRDefault="00683A8E" w:rsidP="00EA681A">
      <w:pPr>
        <w:spacing w:after="0"/>
        <w:contextualSpacing/>
      </w:pPr>
      <w:r>
        <w:t>This standing order authorizes dispensing of naloxone,</w:t>
      </w:r>
      <w:r w:rsidR="00FC4A97">
        <w:t xml:space="preserve"> as specified above, to:</w:t>
      </w:r>
    </w:p>
    <w:p w:rsidR="00683A8E" w:rsidRDefault="00683A8E" w:rsidP="00EA681A">
      <w:pPr>
        <w:spacing w:after="0"/>
        <w:contextualSpacing/>
      </w:pPr>
      <w:r>
        <w:tab/>
      </w:r>
      <w:sdt>
        <w:sdtPr>
          <w:id w:val="694823084"/>
          <w14:checkbox>
            <w14:checked w14:val="0"/>
            <w14:checkedState w14:val="2612" w14:font="MS Gothic"/>
            <w14:uncheckedState w14:val="2610" w14:font="MS Gothic"/>
          </w14:checkbox>
        </w:sdtPr>
        <w:sdtEndPr/>
        <w:sdtContent>
          <w:r w:rsidR="006E73DD">
            <w:rPr>
              <w:rFonts w:ascii="MS Gothic" w:eastAsia="MS Gothic" w:hAnsi="MS Gothic" w:hint="eastAsia"/>
            </w:rPr>
            <w:t>☐</w:t>
          </w:r>
        </w:sdtContent>
      </w:sdt>
      <w:r>
        <w:tab/>
        <w:t>Any ORP certificate holder</w:t>
      </w:r>
    </w:p>
    <w:p w:rsidR="00683A8E" w:rsidRDefault="00683A8E" w:rsidP="00683A8E">
      <w:pPr>
        <w:spacing w:after="0"/>
        <w:contextualSpacing/>
      </w:pPr>
      <w:r>
        <w:tab/>
      </w:r>
      <w:sdt>
        <w:sdtPr>
          <w:id w:val="-1513909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Only ORP certificate holders who have been certified by specific authorized entities </w:t>
      </w:r>
    </w:p>
    <w:p w:rsidR="00683A8E" w:rsidRDefault="00683A8E" w:rsidP="00683A8E">
      <w:pPr>
        <w:spacing w:after="0"/>
        <w:ind w:left="720" w:firstLine="720"/>
        <w:contextualSpacing/>
      </w:pPr>
      <w:r>
        <w:t>(</w:t>
      </w:r>
      <w:proofErr w:type="gramStart"/>
      <w:r>
        <w:t>attach</w:t>
      </w:r>
      <w:proofErr w:type="gramEnd"/>
      <w:r>
        <w:t xml:space="preserve"> a list)</w:t>
      </w:r>
    </w:p>
    <w:p w:rsidR="00683A8E" w:rsidRDefault="00683A8E" w:rsidP="00683A8E">
      <w:pPr>
        <w:spacing w:after="0"/>
        <w:contextualSpacing/>
      </w:pPr>
      <w:r>
        <w:tab/>
      </w:r>
      <w:sdt>
        <w:sdtPr>
          <w:id w:val="1313988238"/>
          <w14:checkbox>
            <w14:checked w14:val="0"/>
            <w14:checkedState w14:val="2612" w14:font="MS Gothic"/>
            <w14:uncheckedState w14:val="2610" w14:font="MS Gothic"/>
          </w14:checkbox>
        </w:sdtPr>
        <w:sdtEndPr/>
        <w:sdtContent>
          <w:r w:rsidR="005613B1">
            <w:rPr>
              <w:rFonts w:ascii="MS Gothic" w:eastAsia="MS Gothic" w:hAnsi="MS Gothic" w:hint="eastAsia"/>
            </w:rPr>
            <w:t>☐</w:t>
          </w:r>
        </w:sdtContent>
      </w:sdt>
      <w:r>
        <w:tab/>
        <w:t>Only specific ORP certificate holder</w:t>
      </w:r>
      <w:r w:rsidR="00D40780">
        <w:t>s</w:t>
      </w:r>
      <w:r>
        <w:t xml:space="preserve"> (attach a list)</w:t>
      </w:r>
    </w:p>
    <w:p w:rsidR="00683A8E" w:rsidRDefault="00993D2C" w:rsidP="00C96A6D">
      <w:pPr>
        <w:spacing w:after="0"/>
        <w:ind w:firstLine="720"/>
        <w:contextualSpacing/>
      </w:pPr>
      <w:sdt>
        <w:sdtPr>
          <w:id w:val="170300974"/>
          <w14:checkbox>
            <w14:checked w14:val="0"/>
            <w14:checkedState w14:val="2612" w14:font="MS Gothic"/>
            <w14:uncheckedState w14:val="2610" w14:font="MS Gothic"/>
          </w14:checkbox>
        </w:sdtPr>
        <w:sdtEndPr/>
        <w:sdtContent>
          <w:r w:rsidR="00C96A6D">
            <w:rPr>
              <w:rFonts w:ascii="MS Gothic" w:eastAsia="MS Gothic" w:hAnsi="MS Gothic" w:hint="eastAsia"/>
            </w:rPr>
            <w:t>☐</w:t>
          </w:r>
        </w:sdtContent>
      </w:sdt>
      <w:r w:rsidR="00C96A6D">
        <w:tab/>
        <w:t>Other cond</w:t>
      </w:r>
      <w:r w:rsidR="007C22CA">
        <w:t>itions (attach a narrative)</w:t>
      </w:r>
    </w:p>
    <w:p w:rsidR="00C96A6D" w:rsidRDefault="00C96A6D" w:rsidP="00EA681A">
      <w:pPr>
        <w:spacing w:after="0"/>
        <w:contextualSpacing/>
      </w:pPr>
    </w:p>
    <w:p w:rsidR="00683A8E" w:rsidRDefault="00683A8E" w:rsidP="00EA681A">
      <w:pPr>
        <w:spacing w:after="0"/>
        <w:contextualSpacing/>
      </w:pPr>
      <w:r>
        <w:t xml:space="preserve">Upon verification </w:t>
      </w:r>
      <w:r w:rsidR="00D40780">
        <w:t xml:space="preserve">of an individual’s status as an ORP certificate holder eligible to be dispensed naloxone under this standing order, dispense </w:t>
      </w:r>
      <w:proofErr w:type="gramStart"/>
      <w:r w:rsidR="00D40780">
        <w:softHyphen/>
      </w:r>
      <w:r w:rsidR="00D40780">
        <w:softHyphen/>
      </w:r>
      <w:r w:rsidR="00D40780">
        <w:softHyphen/>
      </w:r>
      <w:r w:rsidR="00967806" w:rsidRPr="007C22CA">
        <w:rPr>
          <w:u w:val="single"/>
        </w:rPr>
        <w:t>[</w:t>
      </w:r>
      <w:proofErr w:type="gramEnd"/>
      <w:r w:rsidR="00967806" w:rsidRPr="007C22CA">
        <w:rPr>
          <w:u w:val="single"/>
        </w:rPr>
        <w:t xml:space="preserve"> </w:t>
      </w:r>
      <w:r w:rsidR="00967806" w:rsidRPr="00483D6B">
        <w:rPr>
          <w:u w:val="single"/>
        </w:rPr>
        <w:t>#</w:t>
      </w:r>
      <w:r w:rsidR="00967806" w:rsidRPr="007C22CA">
        <w:rPr>
          <w:u w:val="single"/>
        </w:rPr>
        <w:t xml:space="preserve"> ]</w:t>
      </w:r>
      <w:r w:rsidR="00967806">
        <w:t xml:space="preserve"> d</w:t>
      </w:r>
      <w:r w:rsidR="00D40780">
        <w:t>oses of naloxone and necessary paraphernalia for administration.</w:t>
      </w:r>
    </w:p>
    <w:p w:rsidR="00D40780" w:rsidRDefault="00D40780" w:rsidP="00EA681A">
      <w:pPr>
        <w:spacing w:after="0"/>
        <w:contextualSpacing/>
      </w:pPr>
    </w:p>
    <w:p w:rsidR="00FC4A97" w:rsidRDefault="00FC4A97" w:rsidP="00EA681A">
      <w:pPr>
        <w:spacing w:after="0"/>
        <w:contextualSpacing/>
      </w:pPr>
      <w:r>
        <w:t xml:space="preserve">Provide certificate holder with </w:t>
      </w:r>
      <w:r w:rsidR="007C22CA">
        <w:t>supplemental</w:t>
      </w:r>
      <w:r>
        <w:t xml:space="preserve"> supplies, </w:t>
      </w:r>
      <w:r w:rsidR="007C22CA">
        <w:t>including</w:t>
      </w:r>
      <w:r w:rsidR="006E73DD">
        <w:t xml:space="preserve"> (check all that apply)</w:t>
      </w:r>
      <w:r>
        <w:t>:</w:t>
      </w:r>
    </w:p>
    <w:p w:rsidR="00FC4A97" w:rsidRDefault="00FC4A97" w:rsidP="00EA681A">
      <w:pPr>
        <w:spacing w:after="0"/>
        <w:contextualSpacing/>
      </w:pPr>
      <w:r>
        <w:tab/>
      </w:r>
      <w:sdt>
        <w:sdtPr>
          <w:id w:val="1468394043"/>
          <w14:checkbox>
            <w14:checked w14:val="0"/>
            <w14:checkedState w14:val="2612" w14:font="MS Gothic"/>
            <w14:uncheckedState w14:val="2610" w14:font="MS Gothic"/>
          </w14:checkbox>
        </w:sdtPr>
        <w:sdtEndPr/>
        <w:sdtContent>
          <w:r w:rsidR="00C13752">
            <w:rPr>
              <w:rFonts w:ascii="MS Gothic" w:eastAsia="MS Gothic" w:hAnsi="MS Gothic" w:hint="eastAsia"/>
            </w:rPr>
            <w:t>☐</w:t>
          </w:r>
        </w:sdtContent>
      </w:sdt>
      <w:r>
        <w:tab/>
        <w:t xml:space="preserve">Medical gloves </w:t>
      </w:r>
      <w:proofErr w:type="gramStart"/>
      <w:r w:rsidR="007C22CA" w:rsidRPr="007C22CA">
        <w:rPr>
          <w:u w:val="single"/>
        </w:rPr>
        <w:t>[ #</w:t>
      </w:r>
      <w:proofErr w:type="gramEnd"/>
      <w:r w:rsidR="007C22CA" w:rsidRPr="007C22CA">
        <w:rPr>
          <w:u w:val="single"/>
        </w:rPr>
        <w:t xml:space="preserve"> ]</w:t>
      </w:r>
    </w:p>
    <w:p w:rsidR="00FC4A97" w:rsidRDefault="00FC4A97" w:rsidP="00EA681A">
      <w:pPr>
        <w:spacing w:after="0"/>
        <w:contextualSpacing/>
      </w:pPr>
      <w:r>
        <w:tab/>
      </w:r>
      <w:sdt>
        <w:sdtPr>
          <w:id w:val="946271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7806">
        <w:tab/>
        <w:t>Protective face shield</w:t>
      </w:r>
      <w:r>
        <w:t xml:space="preserve"> for rescue breathing </w:t>
      </w:r>
      <w:proofErr w:type="gramStart"/>
      <w:r w:rsidR="007C22CA" w:rsidRPr="007C22CA">
        <w:rPr>
          <w:u w:val="single"/>
        </w:rPr>
        <w:t>[ #</w:t>
      </w:r>
      <w:proofErr w:type="gramEnd"/>
      <w:r w:rsidR="007C22CA" w:rsidRPr="007C22CA">
        <w:rPr>
          <w:u w:val="single"/>
        </w:rPr>
        <w:t xml:space="preserve"> ]</w:t>
      </w:r>
    </w:p>
    <w:p w:rsidR="00FC4A97" w:rsidRDefault="00FC4A97" w:rsidP="00EA681A">
      <w:pPr>
        <w:spacing w:after="0"/>
        <w:contextualSpacing/>
      </w:pPr>
      <w:r>
        <w:tab/>
      </w:r>
      <w:sdt>
        <w:sdtPr>
          <w:id w:val="853845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Alcohol swabs </w:t>
      </w:r>
      <w:proofErr w:type="gramStart"/>
      <w:r w:rsidR="007C22CA" w:rsidRPr="007C22CA">
        <w:rPr>
          <w:u w:val="single"/>
        </w:rPr>
        <w:t>[ #</w:t>
      </w:r>
      <w:proofErr w:type="gramEnd"/>
      <w:r w:rsidR="007C22CA" w:rsidRPr="007C22CA">
        <w:rPr>
          <w:u w:val="single"/>
        </w:rPr>
        <w:t xml:space="preserve"> ]</w:t>
      </w:r>
    </w:p>
    <w:p w:rsidR="005613B1" w:rsidRPr="00D40780" w:rsidRDefault="005613B1" w:rsidP="005613B1">
      <w:pPr>
        <w:spacing w:after="0"/>
        <w:contextualSpacing/>
      </w:pPr>
      <w:r>
        <w:tab/>
      </w:r>
      <w:sdt>
        <w:sdtPr>
          <w:id w:val="557066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C22CA">
        <w:tab/>
        <w:t>Other supplies (attach a list)</w:t>
      </w:r>
    </w:p>
    <w:p w:rsidR="00FC4A97" w:rsidRPr="00FC4A97" w:rsidRDefault="00FC4A97" w:rsidP="00FC4A97">
      <w:pPr>
        <w:spacing w:after="0"/>
        <w:ind w:left="720" w:firstLine="720"/>
        <w:contextualSpacing/>
      </w:pPr>
    </w:p>
    <w:p w:rsidR="00BD4136" w:rsidRDefault="00BD4136" w:rsidP="00EA681A">
      <w:pPr>
        <w:spacing w:after="0"/>
        <w:contextualSpacing/>
        <w:rPr>
          <w:i/>
        </w:rPr>
      </w:pPr>
    </w:p>
    <w:p w:rsidR="00BD4136" w:rsidRDefault="00BD4136" w:rsidP="00EA681A">
      <w:pPr>
        <w:spacing w:after="0"/>
        <w:contextualSpacing/>
        <w:rPr>
          <w:i/>
        </w:rPr>
      </w:pPr>
    </w:p>
    <w:p w:rsidR="00ED3FC6" w:rsidRDefault="00645FB1" w:rsidP="00EA681A">
      <w:pPr>
        <w:spacing w:after="0"/>
        <w:contextualSpacing/>
        <w:rPr>
          <w:i/>
        </w:rPr>
      </w:pPr>
      <w:r w:rsidRPr="006F5432">
        <w:rPr>
          <w:i/>
        </w:rPr>
        <w:t xml:space="preserve">I declare the standing order </w:t>
      </w:r>
      <w:r w:rsidR="00A54799">
        <w:rPr>
          <w:i/>
        </w:rPr>
        <w:t xml:space="preserve">for prescribing and dispensing </w:t>
      </w:r>
      <w:r w:rsidRPr="006F5432">
        <w:rPr>
          <w:i/>
        </w:rPr>
        <w:t xml:space="preserve">of naloxone as defined in the above conditions. </w:t>
      </w:r>
    </w:p>
    <w:p w:rsidR="00BD4136" w:rsidRPr="00645FB1" w:rsidRDefault="00BD4136" w:rsidP="00EA681A">
      <w:pPr>
        <w:spacing w:after="0"/>
        <w:contextualSpacing/>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D400D1" w:rsidTr="008C598C">
        <w:trPr>
          <w:trHeight w:val="792"/>
        </w:trPr>
        <w:tc>
          <w:tcPr>
            <w:tcW w:w="4968" w:type="dxa"/>
          </w:tcPr>
          <w:p w:rsidR="008C598C" w:rsidRDefault="008C598C" w:rsidP="00EA681A">
            <w:pPr>
              <w:contextualSpacing/>
            </w:pPr>
          </w:p>
          <w:p w:rsidR="008C598C" w:rsidRDefault="008C598C" w:rsidP="00EA681A">
            <w:pPr>
              <w:contextualSpacing/>
            </w:pPr>
          </w:p>
          <w:p w:rsidR="00D400D1" w:rsidRDefault="00D400D1" w:rsidP="00EA681A">
            <w:pPr>
              <w:contextualSpacing/>
            </w:pPr>
            <w:r>
              <w:t>________________________________________</w:t>
            </w:r>
          </w:p>
        </w:tc>
        <w:tc>
          <w:tcPr>
            <w:tcW w:w="4608" w:type="dxa"/>
          </w:tcPr>
          <w:p w:rsidR="008C598C" w:rsidRDefault="008C598C" w:rsidP="00EA681A">
            <w:pPr>
              <w:contextualSpacing/>
            </w:pPr>
          </w:p>
          <w:p w:rsidR="008C598C" w:rsidRDefault="008C598C" w:rsidP="00EA681A">
            <w:pPr>
              <w:contextualSpacing/>
            </w:pPr>
          </w:p>
          <w:p w:rsidR="00D400D1" w:rsidRDefault="00D400D1" w:rsidP="00EA681A">
            <w:pPr>
              <w:contextualSpacing/>
            </w:pPr>
            <w:r>
              <w:t>________________________________________</w:t>
            </w:r>
          </w:p>
        </w:tc>
      </w:tr>
      <w:tr w:rsidR="00D400D1" w:rsidTr="008C598C">
        <w:trPr>
          <w:trHeight w:val="288"/>
        </w:trPr>
        <w:tc>
          <w:tcPr>
            <w:tcW w:w="4968" w:type="dxa"/>
          </w:tcPr>
          <w:p w:rsidR="00D400D1" w:rsidRDefault="00D400D1" w:rsidP="00EA681A">
            <w:pPr>
              <w:contextualSpacing/>
            </w:pPr>
            <w:r>
              <w:t>Signature</w:t>
            </w:r>
          </w:p>
        </w:tc>
        <w:tc>
          <w:tcPr>
            <w:tcW w:w="4608" w:type="dxa"/>
          </w:tcPr>
          <w:p w:rsidR="00A54799" w:rsidRDefault="00D400D1" w:rsidP="00EA681A">
            <w:pPr>
              <w:contextualSpacing/>
            </w:pPr>
            <w:r>
              <w:t>Date</w:t>
            </w:r>
          </w:p>
        </w:tc>
      </w:tr>
      <w:tr w:rsidR="00D400D1" w:rsidTr="008C598C">
        <w:trPr>
          <w:trHeight w:val="792"/>
        </w:trPr>
        <w:tc>
          <w:tcPr>
            <w:tcW w:w="4968" w:type="dxa"/>
          </w:tcPr>
          <w:p w:rsidR="008C598C" w:rsidRDefault="008C598C" w:rsidP="00EA681A">
            <w:pPr>
              <w:contextualSpacing/>
            </w:pPr>
          </w:p>
          <w:p w:rsidR="008C598C" w:rsidRDefault="008C598C" w:rsidP="00EA681A">
            <w:pPr>
              <w:contextualSpacing/>
            </w:pPr>
          </w:p>
          <w:p w:rsidR="00D400D1" w:rsidRDefault="00D400D1" w:rsidP="00EA681A">
            <w:pPr>
              <w:contextualSpacing/>
            </w:pPr>
            <w:r>
              <w:t>________________________________________</w:t>
            </w:r>
          </w:p>
        </w:tc>
        <w:tc>
          <w:tcPr>
            <w:tcW w:w="4608" w:type="dxa"/>
          </w:tcPr>
          <w:p w:rsidR="008C598C" w:rsidRDefault="008C598C" w:rsidP="00EA681A">
            <w:pPr>
              <w:contextualSpacing/>
            </w:pPr>
          </w:p>
          <w:p w:rsidR="008C598C" w:rsidRDefault="008C598C" w:rsidP="00EA681A">
            <w:pPr>
              <w:contextualSpacing/>
            </w:pPr>
          </w:p>
          <w:p w:rsidR="00D400D1" w:rsidRDefault="00D400D1" w:rsidP="00EA681A">
            <w:pPr>
              <w:contextualSpacing/>
            </w:pPr>
            <w:r>
              <w:t>________________________________________</w:t>
            </w:r>
          </w:p>
        </w:tc>
      </w:tr>
      <w:tr w:rsidR="00D400D1" w:rsidTr="008C598C">
        <w:trPr>
          <w:trHeight w:val="432"/>
        </w:trPr>
        <w:tc>
          <w:tcPr>
            <w:tcW w:w="4968" w:type="dxa"/>
          </w:tcPr>
          <w:p w:rsidR="00D400D1" w:rsidRDefault="00A54799" w:rsidP="00A54799">
            <w:pPr>
              <w:contextualSpacing/>
            </w:pPr>
            <w:r>
              <w:t>Name (print)</w:t>
            </w:r>
          </w:p>
        </w:tc>
        <w:tc>
          <w:tcPr>
            <w:tcW w:w="4608" w:type="dxa"/>
          </w:tcPr>
          <w:p w:rsidR="00D400D1" w:rsidRDefault="00D400D1" w:rsidP="00EA681A">
            <w:pPr>
              <w:contextualSpacing/>
            </w:pPr>
            <w:r>
              <w:t>Standing Order Expiration Date</w:t>
            </w:r>
          </w:p>
        </w:tc>
      </w:tr>
    </w:tbl>
    <w:p w:rsidR="00ED3FC6" w:rsidRDefault="00ED3FC6" w:rsidP="00EA681A">
      <w:pPr>
        <w:spacing w:after="0"/>
        <w:contextualSpacing/>
      </w:pPr>
    </w:p>
    <w:sectPr w:rsidR="00ED3FC6" w:rsidSect="00045B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61" w:rsidRDefault="00D77F61" w:rsidP="0032008B">
      <w:pPr>
        <w:spacing w:after="0" w:line="240" w:lineRule="auto"/>
      </w:pPr>
      <w:r>
        <w:separator/>
      </w:r>
    </w:p>
  </w:endnote>
  <w:endnote w:type="continuationSeparator" w:id="0">
    <w:p w:rsidR="00D77F61" w:rsidRDefault="00D77F61" w:rsidP="0032008B">
      <w:pPr>
        <w:spacing w:after="0" w:line="240" w:lineRule="auto"/>
      </w:pPr>
      <w:r>
        <w:continuationSeparator/>
      </w:r>
    </w:p>
  </w:endnote>
  <w:endnote w:id="1">
    <w:p w:rsidR="008C598C" w:rsidRDefault="008C598C" w:rsidP="008C598C">
      <w:pPr>
        <w:pStyle w:val="EndnoteText"/>
      </w:pPr>
      <w:r>
        <w:rPr>
          <w:rStyle w:val="EndnoteReference"/>
        </w:rPr>
        <w:endnoteRef/>
      </w:r>
      <w:r>
        <w:t xml:space="preserve"> </w:t>
      </w:r>
      <w:hyperlink r:id="rId1" w:history="1">
        <w:r>
          <w:rPr>
            <w:rStyle w:val="Hyperlink"/>
          </w:rPr>
          <w:t>http://bha.dhmh.maryland.gov/NALOXONE/</w:t>
        </w:r>
      </w:hyperlink>
      <w:r>
        <w:t xml:space="preserve"> </w:t>
      </w:r>
    </w:p>
  </w:endnote>
  <w:endnote w:id="2">
    <w:p w:rsidR="008C598C" w:rsidRDefault="008C598C" w:rsidP="008C598C">
      <w:pPr>
        <w:pStyle w:val="EndnoteText"/>
      </w:pPr>
      <w:r>
        <w:rPr>
          <w:rStyle w:val="EndnoteReference"/>
        </w:rPr>
        <w:endnoteRef/>
      </w:r>
      <w:r>
        <w:t xml:space="preserve"> Health-General Article, Title 13, Subtitle 31, Code of Maryland. Regulations: COMAR 10.47.08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5" w:rsidRDefault="00270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5" w:rsidRDefault="00270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5" w:rsidRDefault="00270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61" w:rsidRDefault="00D77F61" w:rsidP="0032008B">
      <w:pPr>
        <w:spacing w:after="0" w:line="240" w:lineRule="auto"/>
      </w:pPr>
      <w:r>
        <w:separator/>
      </w:r>
    </w:p>
  </w:footnote>
  <w:footnote w:type="continuationSeparator" w:id="0">
    <w:p w:rsidR="00D77F61" w:rsidRDefault="00D77F61" w:rsidP="0032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5" w:rsidRDefault="00270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3B" w:rsidRDefault="00DB0D3B">
    <w:pPr>
      <w:pStyle w:val="Header"/>
    </w:pPr>
    <w:r>
      <w:t>Maryland Department of Health and Mental Hygiene</w:t>
    </w:r>
    <w:r>
      <w:tab/>
      <w:t>Behavioral Health Administration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5" w:rsidRDefault="0027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34B5"/>
    <w:multiLevelType w:val="hybridMultilevel"/>
    <w:tmpl w:val="7DC4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149DC"/>
    <w:multiLevelType w:val="hybridMultilevel"/>
    <w:tmpl w:val="5A866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9117F1"/>
    <w:multiLevelType w:val="hybridMultilevel"/>
    <w:tmpl w:val="584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A50E5"/>
    <w:multiLevelType w:val="hybridMultilevel"/>
    <w:tmpl w:val="3E4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6"/>
    <w:rsid w:val="00045BF9"/>
    <w:rsid w:val="00086D64"/>
    <w:rsid w:val="000A22AC"/>
    <w:rsid w:val="00184575"/>
    <w:rsid w:val="001A3696"/>
    <w:rsid w:val="001B4F7B"/>
    <w:rsid w:val="001D2167"/>
    <w:rsid w:val="00206BBA"/>
    <w:rsid w:val="00270BF5"/>
    <w:rsid w:val="002735AF"/>
    <w:rsid w:val="0028567C"/>
    <w:rsid w:val="002D0659"/>
    <w:rsid w:val="0032008B"/>
    <w:rsid w:val="003826A0"/>
    <w:rsid w:val="0039485E"/>
    <w:rsid w:val="003E09DB"/>
    <w:rsid w:val="00483D6B"/>
    <w:rsid w:val="004937DD"/>
    <w:rsid w:val="004D46F9"/>
    <w:rsid w:val="005036E1"/>
    <w:rsid w:val="005613B1"/>
    <w:rsid w:val="00574C53"/>
    <w:rsid w:val="00574E1B"/>
    <w:rsid w:val="005936E2"/>
    <w:rsid w:val="0060098C"/>
    <w:rsid w:val="00631DE8"/>
    <w:rsid w:val="00645FB1"/>
    <w:rsid w:val="00651D27"/>
    <w:rsid w:val="00653409"/>
    <w:rsid w:val="00683A8E"/>
    <w:rsid w:val="006E73DD"/>
    <w:rsid w:val="00715A57"/>
    <w:rsid w:val="00744B9E"/>
    <w:rsid w:val="007540CD"/>
    <w:rsid w:val="007C22CA"/>
    <w:rsid w:val="008C598C"/>
    <w:rsid w:val="00943493"/>
    <w:rsid w:val="009629E8"/>
    <w:rsid w:val="00967806"/>
    <w:rsid w:val="00993D2C"/>
    <w:rsid w:val="009F7DCD"/>
    <w:rsid w:val="00A33B43"/>
    <w:rsid w:val="00A54799"/>
    <w:rsid w:val="00AA7130"/>
    <w:rsid w:val="00BB3D01"/>
    <w:rsid w:val="00BC798F"/>
    <w:rsid w:val="00BD4136"/>
    <w:rsid w:val="00BE18F8"/>
    <w:rsid w:val="00BE40E7"/>
    <w:rsid w:val="00C13752"/>
    <w:rsid w:val="00C40D2D"/>
    <w:rsid w:val="00C45273"/>
    <w:rsid w:val="00C762B8"/>
    <w:rsid w:val="00C924B3"/>
    <w:rsid w:val="00C96A6D"/>
    <w:rsid w:val="00D400D1"/>
    <w:rsid w:val="00D40780"/>
    <w:rsid w:val="00D44E36"/>
    <w:rsid w:val="00D77F61"/>
    <w:rsid w:val="00D96EC0"/>
    <w:rsid w:val="00DB0D3B"/>
    <w:rsid w:val="00E821B7"/>
    <w:rsid w:val="00EA0FD7"/>
    <w:rsid w:val="00EA681A"/>
    <w:rsid w:val="00ED3FC6"/>
    <w:rsid w:val="00EE467F"/>
    <w:rsid w:val="00F11C47"/>
    <w:rsid w:val="00F3324D"/>
    <w:rsid w:val="00FC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F9"/>
    <w:pPr>
      <w:ind w:left="720"/>
      <w:contextualSpacing/>
    </w:pPr>
  </w:style>
  <w:style w:type="table" w:styleId="TableGrid">
    <w:name w:val="Table Grid"/>
    <w:basedOn w:val="TableNormal"/>
    <w:uiPriority w:val="59"/>
    <w:rsid w:val="00D4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B43"/>
    <w:rPr>
      <w:sz w:val="16"/>
      <w:szCs w:val="16"/>
    </w:rPr>
  </w:style>
  <w:style w:type="paragraph" w:styleId="CommentText">
    <w:name w:val="annotation text"/>
    <w:basedOn w:val="Normal"/>
    <w:link w:val="CommentTextChar"/>
    <w:uiPriority w:val="99"/>
    <w:semiHidden/>
    <w:unhideWhenUsed/>
    <w:rsid w:val="00A33B43"/>
    <w:pPr>
      <w:spacing w:line="240" w:lineRule="auto"/>
    </w:pPr>
    <w:rPr>
      <w:sz w:val="20"/>
      <w:szCs w:val="20"/>
    </w:rPr>
  </w:style>
  <w:style w:type="character" w:customStyle="1" w:styleId="CommentTextChar">
    <w:name w:val="Comment Text Char"/>
    <w:basedOn w:val="DefaultParagraphFont"/>
    <w:link w:val="CommentText"/>
    <w:uiPriority w:val="99"/>
    <w:semiHidden/>
    <w:rsid w:val="00A33B43"/>
    <w:rPr>
      <w:sz w:val="20"/>
      <w:szCs w:val="20"/>
    </w:rPr>
  </w:style>
  <w:style w:type="paragraph" w:styleId="CommentSubject">
    <w:name w:val="annotation subject"/>
    <w:basedOn w:val="CommentText"/>
    <w:next w:val="CommentText"/>
    <w:link w:val="CommentSubjectChar"/>
    <w:uiPriority w:val="99"/>
    <w:semiHidden/>
    <w:unhideWhenUsed/>
    <w:rsid w:val="00A33B43"/>
    <w:rPr>
      <w:b/>
      <w:bCs/>
    </w:rPr>
  </w:style>
  <w:style w:type="character" w:customStyle="1" w:styleId="CommentSubjectChar">
    <w:name w:val="Comment Subject Char"/>
    <w:basedOn w:val="CommentTextChar"/>
    <w:link w:val="CommentSubject"/>
    <w:uiPriority w:val="99"/>
    <w:semiHidden/>
    <w:rsid w:val="00A33B43"/>
    <w:rPr>
      <w:b/>
      <w:bCs/>
      <w:sz w:val="20"/>
      <w:szCs w:val="20"/>
    </w:rPr>
  </w:style>
  <w:style w:type="paragraph" w:styleId="BalloonText">
    <w:name w:val="Balloon Text"/>
    <w:basedOn w:val="Normal"/>
    <w:link w:val="BalloonTextChar"/>
    <w:uiPriority w:val="99"/>
    <w:semiHidden/>
    <w:unhideWhenUsed/>
    <w:rsid w:val="00A3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3"/>
    <w:rPr>
      <w:rFonts w:ascii="Tahoma" w:hAnsi="Tahoma" w:cs="Tahoma"/>
      <w:sz w:val="16"/>
      <w:szCs w:val="16"/>
    </w:rPr>
  </w:style>
  <w:style w:type="paragraph" w:styleId="FootnoteText">
    <w:name w:val="footnote text"/>
    <w:basedOn w:val="Normal"/>
    <w:link w:val="FootnoteTextChar"/>
    <w:uiPriority w:val="99"/>
    <w:semiHidden/>
    <w:unhideWhenUsed/>
    <w:rsid w:val="00320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8B"/>
    <w:rPr>
      <w:sz w:val="20"/>
      <w:szCs w:val="20"/>
    </w:rPr>
  </w:style>
  <w:style w:type="character" w:styleId="FootnoteReference">
    <w:name w:val="footnote reference"/>
    <w:basedOn w:val="DefaultParagraphFont"/>
    <w:uiPriority w:val="99"/>
    <w:semiHidden/>
    <w:unhideWhenUsed/>
    <w:rsid w:val="0032008B"/>
    <w:rPr>
      <w:vertAlign w:val="superscript"/>
    </w:rPr>
  </w:style>
  <w:style w:type="paragraph" w:styleId="Header">
    <w:name w:val="header"/>
    <w:basedOn w:val="Normal"/>
    <w:link w:val="HeaderChar"/>
    <w:uiPriority w:val="99"/>
    <w:unhideWhenUsed/>
    <w:rsid w:val="0050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E1"/>
  </w:style>
  <w:style w:type="paragraph" w:styleId="Footer">
    <w:name w:val="footer"/>
    <w:basedOn w:val="Normal"/>
    <w:link w:val="FooterChar"/>
    <w:uiPriority w:val="99"/>
    <w:unhideWhenUsed/>
    <w:rsid w:val="0050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E1"/>
  </w:style>
  <w:style w:type="paragraph" w:styleId="EndnoteText">
    <w:name w:val="endnote text"/>
    <w:basedOn w:val="Normal"/>
    <w:link w:val="EndnoteTextChar"/>
    <w:uiPriority w:val="99"/>
    <w:semiHidden/>
    <w:unhideWhenUsed/>
    <w:rsid w:val="001D21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167"/>
    <w:rPr>
      <w:sz w:val="20"/>
      <w:szCs w:val="20"/>
    </w:rPr>
  </w:style>
  <w:style w:type="character" w:styleId="EndnoteReference">
    <w:name w:val="endnote reference"/>
    <w:basedOn w:val="DefaultParagraphFont"/>
    <w:uiPriority w:val="99"/>
    <w:semiHidden/>
    <w:unhideWhenUsed/>
    <w:rsid w:val="001D2167"/>
    <w:rPr>
      <w:vertAlign w:val="superscript"/>
    </w:rPr>
  </w:style>
  <w:style w:type="character" w:styleId="Hyperlink">
    <w:name w:val="Hyperlink"/>
    <w:basedOn w:val="DefaultParagraphFont"/>
    <w:uiPriority w:val="99"/>
    <w:unhideWhenUsed/>
    <w:rsid w:val="001D2167"/>
    <w:rPr>
      <w:color w:val="0000FF" w:themeColor="hyperlink"/>
      <w:u w:val="single"/>
    </w:rPr>
  </w:style>
  <w:style w:type="character" w:styleId="PlaceholderText">
    <w:name w:val="Placeholder Text"/>
    <w:basedOn w:val="DefaultParagraphFont"/>
    <w:uiPriority w:val="99"/>
    <w:semiHidden/>
    <w:rsid w:val="00D407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F9"/>
    <w:pPr>
      <w:ind w:left="720"/>
      <w:contextualSpacing/>
    </w:pPr>
  </w:style>
  <w:style w:type="table" w:styleId="TableGrid">
    <w:name w:val="Table Grid"/>
    <w:basedOn w:val="TableNormal"/>
    <w:uiPriority w:val="59"/>
    <w:rsid w:val="00D4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B43"/>
    <w:rPr>
      <w:sz w:val="16"/>
      <w:szCs w:val="16"/>
    </w:rPr>
  </w:style>
  <w:style w:type="paragraph" w:styleId="CommentText">
    <w:name w:val="annotation text"/>
    <w:basedOn w:val="Normal"/>
    <w:link w:val="CommentTextChar"/>
    <w:uiPriority w:val="99"/>
    <w:semiHidden/>
    <w:unhideWhenUsed/>
    <w:rsid w:val="00A33B43"/>
    <w:pPr>
      <w:spacing w:line="240" w:lineRule="auto"/>
    </w:pPr>
    <w:rPr>
      <w:sz w:val="20"/>
      <w:szCs w:val="20"/>
    </w:rPr>
  </w:style>
  <w:style w:type="character" w:customStyle="1" w:styleId="CommentTextChar">
    <w:name w:val="Comment Text Char"/>
    <w:basedOn w:val="DefaultParagraphFont"/>
    <w:link w:val="CommentText"/>
    <w:uiPriority w:val="99"/>
    <w:semiHidden/>
    <w:rsid w:val="00A33B43"/>
    <w:rPr>
      <w:sz w:val="20"/>
      <w:szCs w:val="20"/>
    </w:rPr>
  </w:style>
  <w:style w:type="paragraph" w:styleId="CommentSubject">
    <w:name w:val="annotation subject"/>
    <w:basedOn w:val="CommentText"/>
    <w:next w:val="CommentText"/>
    <w:link w:val="CommentSubjectChar"/>
    <w:uiPriority w:val="99"/>
    <w:semiHidden/>
    <w:unhideWhenUsed/>
    <w:rsid w:val="00A33B43"/>
    <w:rPr>
      <w:b/>
      <w:bCs/>
    </w:rPr>
  </w:style>
  <w:style w:type="character" w:customStyle="1" w:styleId="CommentSubjectChar">
    <w:name w:val="Comment Subject Char"/>
    <w:basedOn w:val="CommentTextChar"/>
    <w:link w:val="CommentSubject"/>
    <w:uiPriority w:val="99"/>
    <w:semiHidden/>
    <w:rsid w:val="00A33B43"/>
    <w:rPr>
      <w:b/>
      <w:bCs/>
      <w:sz w:val="20"/>
      <w:szCs w:val="20"/>
    </w:rPr>
  </w:style>
  <w:style w:type="paragraph" w:styleId="BalloonText">
    <w:name w:val="Balloon Text"/>
    <w:basedOn w:val="Normal"/>
    <w:link w:val="BalloonTextChar"/>
    <w:uiPriority w:val="99"/>
    <w:semiHidden/>
    <w:unhideWhenUsed/>
    <w:rsid w:val="00A3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3"/>
    <w:rPr>
      <w:rFonts w:ascii="Tahoma" w:hAnsi="Tahoma" w:cs="Tahoma"/>
      <w:sz w:val="16"/>
      <w:szCs w:val="16"/>
    </w:rPr>
  </w:style>
  <w:style w:type="paragraph" w:styleId="FootnoteText">
    <w:name w:val="footnote text"/>
    <w:basedOn w:val="Normal"/>
    <w:link w:val="FootnoteTextChar"/>
    <w:uiPriority w:val="99"/>
    <w:semiHidden/>
    <w:unhideWhenUsed/>
    <w:rsid w:val="00320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8B"/>
    <w:rPr>
      <w:sz w:val="20"/>
      <w:szCs w:val="20"/>
    </w:rPr>
  </w:style>
  <w:style w:type="character" w:styleId="FootnoteReference">
    <w:name w:val="footnote reference"/>
    <w:basedOn w:val="DefaultParagraphFont"/>
    <w:uiPriority w:val="99"/>
    <w:semiHidden/>
    <w:unhideWhenUsed/>
    <w:rsid w:val="0032008B"/>
    <w:rPr>
      <w:vertAlign w:val="superscript"/>
    </w:rPr>
  </w:style>
  <w:style w:type="paragraph" w:styleId="Header">
    <w:name w:val="header"/>
    <w:basedOn w:val="Normal"/>
    <w:link w:val="HeaderChar"/>
    <w:uiPriority w:val="99"/>
    <w:unhideWhenUsed/>
    <w:rsid w:val="0050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E1"/>
  </w:style>
  <w:style w:type="paragraph" w:styleId="Footer">
    <w:name w:val="footer"/>
    <w:basedOn w:val="Normal"/>
    <w:link w:val="FooterChar"/>
    <w:uiPriority w:val="99"/>
    <w:unhideWhenUsed/>
    <w:rsid w:val="0050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E1"/>
  </w:style>
  <w:style w:type="paragraph" w:styleId="EndnoteText">
    <w:name w:val="endnote text"/>
    <w:basedOn w:val="Normal"/>
    <w:link w:val="EndnoteTextChar"/>
    <w:uiPriority w:val="99"/>
    <w:semiHidden/>
    <w:unhideWhenUsed/>
    <w:rsid w:val="001D21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167"/>
    <w:rPr>
      <w:sz w:val="20"/>
      <w:szCs w:val="20"/>
    </w:rPr>
  </w:style>
  <w:style w:type="character" w:styleId="EndnoteReference">
    <w:name w:val="endnote reference"/>
    <w:basedOn w:val="DefaultParagraphFont"/>
    <w:uiPriority w:val="99"/>
    <w:semiHidden/>
    <w:unhideWhenUsed/>
    <w:rsid w:val="001D2167"/>
    <w:rPr>
      <w:vertAlign w:val="superscript"/>
    </w:rPr>
  </w:style>
  <w:style w:type="character" w:styleId="Hyperlink">
    <w:name w:val="Hyperlink"/>
    <w:basedOn w:val="DefaultParagraphFont"/>
    <w:uiPriority w:val="99"/>
    <w:unhideWhenUsed/>
    <w:rsid w:val="001D2167"/>
    <w:rPr>
      <w:color w:val="0000FF" w:themeColor="hyperlink"/>
      <w:u w:val="single"/>
    </w:rPr>
  </w:style>
  <w:style w:type="character" w:styleId="PlaceholderText">
    <w:name w:val="Placeholder Text"/>
    <w:basedOn w:val="DefaultParagraphFont"/>
    <w:uiPriority w:val="99"/>
    <w:semiHidden/>
    <w:rsid w:val="00D407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7834">
      <w:bodyDiv w:val="1"/>
      <w:marLeft w:val="0"/>
      <w:marRight w:val="0"/>
      <w:marTop w:val="0"/>
      <w:marBottom w:val="0"/>
      <w:divBdr>
        <w:top w:val="none" w:sz="0" w:space="0" w:color="auto"/>
        <w:left w:val="none" w:sz="0" w:space="0" w:color="auto"/>
        <w:bottom w:val="none" w:sz="0" w:space="0" w:color="auto"/>
        <w:right w:val="none" w:sz="0" w:space="0" w:color="auto"/>
      </w:divBdr>
    </w:div>
    <w:div w:id="1995836719">
      <w:bodyDiv w:val="1"/>
      <w:marLeft w:val="0"/>
      <w:marRight w:val="0"/>
      <w:marTop w:val="0"/>
      <w:marBottom w:val="0"/>
      <w:divBdr>
        <w:top w:val="none" w:sz="0" w:space="0" w:color="auto"/>
        <w:left w:val="none" w:sz="0" w:space="0" w:color="auto"/>
        <w:bottom w:val="none" w:sz="0" w:space="0" w:color="auto"/>
        <w:right w:val="none" w:sz="0" w:space="0" w:color="auto"/>
      </w:divBdr>
    </w:div>
    <w:div w:id="21333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bha.dhmh.maryland.gov/NALOX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F43F48C1E0549962977228CFD05F0" ma:contentTypeVersion="8" ma:contentTypeDescription="Create a new document." ma:contentTypeScope="" ma:versionID="d555a0c34986be03de22e91f8e7ef054">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373B3-F3AE-4722-929E-98F2E7771F9D}"/>
</file>

<file path=customXml/itemProps2.xml><?xml version="1.0" encoding="utf-8"?>
<ds:datastoreItem xmlns:ds="http://schemas.openxmlformats.org/officeDocument/2006/customXml" ds:itemID="{A4A827BD-FA7E-4216-A7EE-D76EF91CA14F}"/>
</file>

<file path=customXml/itemProps3.xml><?xml version="1.0" encoding="utf-8"?>
<ds:datastoreItem xmlns:ds="http://schemas.openxmlformats.org/officeDocument/2006/customXml" ds:itemID="{2BD5EF7D-E1C8-4563-9AA2-2776DA311240}"/>
</file>

<file path=customXml/itemProps4.xml><?xml version="1.0" encoding="utf-8"?>
<ds:datastoreItem xmlns:ds="http://schemas.openxmlformats.org/officeDocument/2006/customXml" ds:itemID="{D2A0C035-50B2-4DE4-B5DF-19A91D1CBBBC}"/>
</file>

<file path=customXml/itemProps5.xml><?xml version="1.0" encoding="utf-8"?>
<ds:datastoreItem xmlns:ds="http://schemas.openxmlformats.org/officeDocument/2006/customXml" ds:itemID="{D2A0C035-50B2-4DE4-B5DF-19A91D1CBBBC}"/>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Haas</dc:creator>
  <cp:lastModifiedBy>Kathleen Sarnecki</cp:lastModifiedBy>
  <cp:revision>2</cp:revision>
  <cp:lastPrinted>2015-08-12T18:55:00Z</cp:lastPrinted>
  <dcterms:created xsi:type="dcterms:W3CDTF">2015-11-24T14:46:00Z</dcterms:created>
  <dcterms:modified xsi:type="dcterms:W3CDTF">2015-11-24T14:46:00Z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0x0101002B8F43F48C1E0549962977228CFD05F0</vt:lpwstr>
  </property>
  <property fmtid="{D5CDD505-2E9C-101B-9397-08002B2CF9AE}" pid="3" name="_dlc_DocIdItemGuid">
    <vt:lpwstr>23ba2b5a-113b-4961-be2a-51b4404c8715</vt:lpwstr>
  </property>
</Properties>
</file>